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left"/>
        <w:rPr/>
      </w:pPr>
      <w:r>
        <w:rPr>
          <w:rFonts w:ascii="Times New Roman" w:hAnsi="Times New Roman"/>
          <w:b/>
          <w:bCs/>
          <w:i w:val="false"/>
          <w:iCs w:val="false"/>
          <w:sz w:val="28"/>
          <w:szCs w:val="28"/>
        </w:rPr>
        <w:t xml:space="preserve"> </w:t>
      </w:r>
      <w:r>
        <w:rPr>
          <w:rFonts w:ascii="Times New Roman" w:hAnsi="Times New Roman"/>
          <w:b/>
          <w:bCs/>
          <w:i w:val="false"/>
          <w:iCs w:val="false"/>
          <w:sz w:val="28"/>
          <w:szCs w:val="28"/>
        </w:rPr>
        <w:t xml:space="preserve">УДК </w:t>
      </w:r>
      <w:r>
        <w:rPr>
          <w:rFonts w:eastAsia="Times New Roman" w:cs="Times New Roman" w:ascii="Times New Roman" w:hAnsi="Times New Roman"/>
          <w:b/>
          <w:bCs/>
          <w:i w:val="false"/>
          <w:iCs w:val="false"/>
          <w:color w:val="000000"/>
          <w:sz w:val="28"/>
          <w:szCs w:val="28"/>
          <w:lang w:eastAsia="uk-UA"/>
        </w:rPr>
        <w:t xml:space="preserve">159.922.1: 316.472.3 </w:t>
      </w:r>
      <w:r>
        <w:rPr>
          <w:rFonts w:ascii="Times New Roman" w:hAnsi="Times New Roman"/>
          <w:b/>
          <w:bCs/>
          <w:i w:val="false"/>
          <w:iCs w:val="false"/>
          <w:sz w:val="28"/>
          <w:szCs w:val="28"/>
        </w:rPr>
        <w:t xml:space="preserve">                                                         </w:t>
      </w:r>
      <w:r>
        <w:rPr>
          <w:rFonts w:ascii="Times New Roman" w:hAnsi="Times New Roman"/>
          <w:b/>
          <w:bCs/>
          <w:i/>
          <w:iCs/>
          <w:sz w:val="28"/>
          <w:szCs w:val="28"/>
        </w:rPr>
        <w:t>Надія Куравська</w:t>
      </w:r>
    </w:p>
    <w:p>
      <w:pPr>
        <w:pStyle w:val="Normal"/>
        <w:spacing w:lineRule="auto" w:line="360"/>
        <w:jc w:val="center"/>
        <w:rPr>
          <w:rFonts w:ascii="Times New Roman" w:hAnsi="Times New Roman"/>
          <w:b/>
          <w:b/>
          <w:bCs/>
          <w:i w:val="false"/>
          <w:i w:val="false"/>
          <w:iCs w:val="false"/>
          <w:sz w:val="28"/>
          <w:szCs w:val="28"/>
        </w:rPr>
      </w:pPr>
      <w:r>
        <w:rPr>
          <w:rFonts w:ascii="Times New Roman" w:hAnsi="Times New Roman"/>
          <w:b/>
          <w:bCs/>
          <w:i w:val="false"/>
          <w:iCs w:val="false"/>
          <w:sz w:val="28"/>
          <w:szCs w:val="28"/>
        </w:rPr>
        <w:t>ПРОЯВИ ПСИХОЛОГІЧНИХ ПРОБЛЕМ ГЕНДЕРНОГО ХАРАКТЕРУ</w:t>
      </w:r>
    </w:p>
    <w:p>
      <w:pPr>
        <w:pStyle w:val="Normal"/>
        <w:spacing w:lineRule="auto" w:line="360"/>
        <w:jc w:val="center"/>
        <w:rPr/>
      </w:pPr>
      <w:r>
        <w:rPr>
          <w:rFonts w:ascii="Times New Roman" w:hAnsi="Times New Roman"/>
          <w:b/>
          <w:bCs/>
          <w:i w:val="false"/>
          <w:iCs w:val="false"/>
          <w:sz w:val="28"/>
          <w:szCs w:val="28"/>
        </w:rPr>
        <w:t>В ОРГАНІЗАЦІЯХ</w:t>
      </w:r>
    </w:p>
    <w:p>
      <w:pPr>
        <w:pStyle w:val="Normal"/>
        <w:spacing w:lineRule="auto" w:line="360"/>
        <w:jc w:val="center"/>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360"/>
        <w:jc w:val="both"/>
        <w:rPr>
          <w:b w:val="false"/>
          <w:b w:val="false"/>
          <w:bCs w:val="false"/>
          <w:i/>
          <w:i/>
          <w:iCs/>
        </w:rPr>
      </w:pPr>
      <w:r>
        <w:rPr>
          <w:rFonts w:ascii="Times New Roman" w:hAnsi="Times New Roman"/>
          <w:b w:val="false"/>
          <w:bCs w:val="false"/>
          <w:i/>
          <w:iCs/>
          <w:sz w:val="28"/>
          <w:szCs w:val="28"/>
        </w:rPr>
        <w:tab/>
        <w:t>Стаття присвячена аналізу проблеми гендеру в організаціях. Виділяються та характеризуються головні психологічні проблеми, які виникають в організаціях і мають гендерно зумовлений характер. Зокрема йдеться про гендерну дискримінацію, сексизм, гендерні та сексуальні домагання, насильство. Коротко описуються негативні наслідки цих явищ.</w:t>
      </w:r>
    </w:p>
    <w:p>
      <w:pPr>
        <w:pStyle w:val="Normal"/>
        <w:spacing w:lineRule="auto" w:line="360"/>
        <w:jc w:val="both"/>
        <w:rPr>
          <w:b w:val="false"/>
          <w:b w:val="false"/>
          <w:bCs w:val="false"/>
          <w:i/>
          <w:i/>
          <w:iCs/>
        </w:rPr>
      </w:pPr>
      <w:r>
        <w:rPr>
          <w:rFonts w:ascii="Times New Roman" w:hAnsi="Times New Roman"/>
          <w:b w:val="false"/>
          <w:bCs w:val="false"/>
          <w:i/>
          <w:iCs/>
          <w:sz w:val="28"/>
          <w:szCs w:val="28"/>
        </w:rPr>
        <w:tab/>
      </w:r>
      <w:r>
        <w:rPr>
          <w:rFonts w:ascii="Times New Roman" w:hAnsi="Times New Roman"/>
          <w:b/>
          <w:bCs/>
          <w:i/>
          <w:iCs/>
          <w:sz w:val="28"/>
          <w:szCs w:val="28"/>
        </w:rPr>
        <w:t>Ключові слова:</w:t>
      </w:r>
      <w:r>
        <w:rPr>
          <w:rFonts w:ascii="Times New Roman" w:hAnsi="Times New Roman"/>
          <w:b w:val="false"/>
          <w:bCs w:val="false"/>
          <w:i/>
          <w:iCs/>
          <w:sz w:val="28"/>
          <w:szCs w:val="28"/>
        </w:rPr>
        <w:t xml:space="preserve"> гендерна дискримінація, сексизм, гендерні домагання, сексуальні домагання, насильство, організація.</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b w:val="false"/>
          <w:b w:val="false"/>
          <w:bCs w:val="false"/>
          <w:i/>
          <w:i/>
          <w:iCs/>
        </w:rPr>
      </w:pPr>
      <w:r>
        <w:rPr>
          <w:rFonts w:ascii="Times New Roman" w:hAnsi="Times New Roman"/>
          <w:b w:val="false"/>
          <w:bCs w:val="false"/>
          <w:i/>
          <w:iCs/>
          <w:sz w:val="28"/>
          <w:szCs w:val="28"/>
        </w:rPr>
        <w:tab/>
        <w:t>The article is devoted to the analysis of gender problem in organizations.  The main psychological problems that arise in organizations and have the gender conditioned character are described. In particular it is gender discrimination, sexism, gender and sexual harassment, and violence.  The negative consequences of these phenomena are briefly described.</w:t>
      </w:r>
    </w:p>
    <w:p>
      <w:pPr>
        <w:pStyle w:val="Normal"/>
        <w:spacing w:lineRule="auto" w:line="360"/>
        <w:jc w:val="both"/>
        <w:rPr>
          <w:rFonts w:ascii="Times New Roman" w:hAnsi="Times New Roman"/>
          <w:b w:val="false"/>
          <w:b w:val="false"/>
          <w:bCs w:val="false"/>
          <w:i/>
          <w:i/>
          <w:iCs/>
          <w:sz w:val="28"/>
          <w:szCs w:val="28"/>
        </w:rPr>
      </w:pPr>
      <w:r>
        <w:rPr>
          <w:rFonts w:ascii="Times New Roman" w:hAnsi="Times New Roman"/>
          <w:b w:val="false"/>
          <w:bCs w:val="false"/>
          <w:i/>
          <w:iCs/>
          <w:sz w:val="28"/>
          <w:szCs w:val="28"/>
        </w:rPr>
        <w:tab/>
      </w:r>
      <w:r>
        <w:rPr>
          <w:rFonts w:ascii="Times New Roman" w:hAnsi="Times New Roman"/>
          <w:b/>
          <w:bCs/>
          <w:i/>
          <w:iCs/>
          <w:sz w:val="28"/>
          <w:szCs w:val="28"/>
        </w:rPr>
        <w:t>Keywords:</w:t>
      </w:r>
      <w:r>
        <w:rPr>
          <w:rFonts w:ascii="Times New Roman" w:hAnsi="Times New Roman"/>
          <w:b w:val="false"/>
          <w:bCs w:val="false"/>
          <w:i/>
          <w:iCs/>
          <w:sz w:val="28"/>
          <w:szCs w:val="28"/>
        </w:rPr>
        <w:t xml:space="preserve"> gender discrimination, sexism, gender harassment, sexual harassment, violence, organization.</w:t>
      </w:r>
    </w:p>
    <w:p>
      <w:pPr>
        <w:pStyle w:val="Normal"/>
        <w:spacing w:lineRule="auto" w:line="360"/>
        <w:jc w:val="both"/>
        <w:rPr>
          <w:rFonts w:ascii="Times New Roman" w:hAnsi="Times New Roman"/>
          <w:b w:val="false"/>
          <w:b w:val="false"/>
          <w:bCs w:val="false"/>
          <w:i/>
          <w:i/>
          <w:iCs/>
          <w:sz w:val="28"/>
          <w:szCs w:val="28"/>
        </w:rPr>
      </w:pPr>
      <w:r>
        <w:rPr>
          <w:rFonts w:ascii="Times New Roman" w:hAnsi="Times New Roman"/>
          <w:b w:val="false"/>
          <w:bCs w:val="false"/>
          <w:i/>
          <w:iCs/>
          <w:sz w:val="28"/>
          <w:szCs w:val="28"/>
        </w:rPr>
      </w:r>
    </w:p>
    <w:p>
      <w:pPr>
        <w:pStyle w:val="Normal"/>
        <w:spacing w:lineRule="auto" w:line="360"/>
        <w:jc w:val="both"/>
        <w:rPr/>
      </w:pPr>
      <w:r>
        <w:rPr>
          <w:rFonts w:ascii="Times New Roman" w:hAnsi="Times New Roman"/>
          <w:b w:val="false"/>
          <w:bCs w:val="false"/>
          <w:sz w:val="28"/>
          <w:szCs w:val="28"/>
          <w:lang w:val="uk-UA"/>
        </w:rPr>
        <w:tab/>
      </w:r>
      <w:r>
        <w:rPr>
          <w:rFonts w:ascii="Times New Roman" w:hAnsi="Times New Roman"/>
          <w:b/>
          <w:bCs/>
          <w:sz w:val="28"/>
          <w:szCs w:val="28"/>
          <w:lang w:val="uk-UA"/>
        </w:rPr>
        <w:t>Постановка проблеми.</w:t>
      </w:r>
      <w:r>
        <w:rPr>
          <w:rFonts w:ascii="Times New Roman" w:hAnsi="Times New Roman"/>
          <w:b w:val="false"/>
          <w:bCs w:val="false"/>
          <w:sz w:val="28"/>
          <w:szCs w:val="28"/>
          <w:lang w:val="uk-UA"/>
        </w:rPr>
        <w:t xml:space="preserve"> Сучасні організації модернізують свою діяльність і дедалі частіше завдяки євроінтеграційним процесам в Україні  звертають увагу на впровадження та удосконалення своєї гендерної політики. Цей процес зазнає багато труднощів, що зумовлено об’єктивними та суб’єктивними чинниками. До перших можна віднести декларованість багатьох нормативно-правових документів, які регламентують гендерну політику нашої держави, відсутність правових механізмів судового вирішення гендерно обумовлених проблем тощо, а до других — існування в масовій та індивідуальній свідомості громадян багатьох гендерних стереотипів та упереджень, які ускладнюють міжособистісну й ділову взаємодію в організаціях.</w:t>
      </w:r>
    </w:p>
    <w:p>
      <w:pPr>
        <w:pStyle w:val="Normal"/>
        <w:spacing w:lineRule="auto" w:line="360"/>
        <w:jc w:val="both"/>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ab/>
        <w:t>Як свідчить практика, в сучасних організаціях незалежно від форм власності продовжують існувати такі явища, як гендерна дискримінація, сексизм, гендерні та сексуальні домагання, а також насильство. Не секрет, що вони існували й у минулому, однак в сучасних умовах вони набули нового звучання й характеризуються тепер як гендерно-психологічні проблеми.</w:t>
      </w:r>
    </w:p>
    <w:p>
      <w:pPr>
        <w:pStyle w:val="Normal"/>
        <w:spacing w:lineRule="auto" w:line="360"/>
        <w:jc w:val="both"/>
        <w:rPr/>
      </w:pPr>
      <w:r>
        <w:rPr>
          <w:rFonts w:ascii="Times New Roman" w:hAnsi="Times New Roman"/>
          <w:b w:val="false"/>
          <w:bCs w:val="false"/>
          <w:sz w:val="28"/>
          <w:szCs w:val="28"/>
          <w:lang w:val="uk-UA"/>
        </w:rPr>
        <w:tab/>
        <w:t xml:space="preserve">Аналіз наукової літератури та результатів соціологічних і психологічних досліджень, присвячених проблемі гендеру в організаціях, дозволяє зробити висновок про достатньо широку її вивченість. Так, у вітчизняній психології проблему гендеру в організаціях вивчали такі науковці, як </w:t>
      </w:r>
      <w:r>
        <w:rPr>
          <w:rFonts w:eastAsia="Times New Roman" w:cs="Times New Roman" w:ascii="Times New Roman" w:hAnsi="Times New Roman"/>
          <w:b w:val="false"/>
          <w:bCs w:val="false"/>
          <w:i w:val="false"/>
          <w:iCs w:val="false"/>
          <w:color w:val="000000"/>
          <w:sz w:val="28"/>
          <w:szCs w:val="28"/>
          <w:lang w:val="uk-UA" w:eastAsia="uk-UA"/>
        </w:rPr>
        <w:t>О. Бондарчук,</w:t>
      </w:r>
      <w:r>
        <w:rPr>
          <w:rFonts w:eastAsia="Times New Roman" w:cs="Times New Roman" w:ascii="Times New Roman" w:hAnsi="Times New Roman"/>
          <w:b w:val="false"/>
          <w:bCs w:val="false"/>
          <w:i w:val="false"/>
          <w:iCs w:val="false"/>
          <w:color w:val="000000"/>
          <w:sz w:val="28"/>
          <w:szCs w:val="28"/>
          <w:lang w:val="en-US" w:eastAsia="uk-UA"/>
        </w:rPr>
        <w:t xml:space="preserve"> Т. Говорун, П. Горностай, Л. Заграй, Л. Карамушка, О. Кізь, О. Кікінежді, В. Кравець, </w:t>
      </w:r>
      <w:r>
        <w:rPr>
          <w:rFonts w:eastAsia="Times New Roman" w:cs="Times New Roman" w:ascii="Times New Roman" w:hAnsi="Times New Roman"/>
          <w:b w:val="false"/>
          <w:bCs w:val="false"/>
          <w:i w:val="false"/>
          <w:iCs w:val="false"/>
          <w:color w:val="000000"/>
          <w:sz w:val="28"/>
          <w:szCs w:val="28"/>
          <w:lang w:val="uk-UA" w:eastAsia="uk-UA"/>
        </w:rPr>
        <w:t>Н. Лавріненко</w:t>
      </w:r>
      <w:r>
        <w:rPr>
          <w:rFonts w:eastAsia="Times New Roman" w:cs="Times New Roman" w:ascii="Times New Roman" w:hAnsi="Times New Roman"/>
          <w:b w:val="false"/>
          <w:bCs w:val="false"/>
          <w:i w:val="false"/>
          <w:iCs w:val="false"/>
          <w:color w:val="000000"/>
          <w:sz w:val="28"/>
          <w:szCs w:val="28"/>
          <w:lang w:val="en-US" w:eastAsia="uk-UA"/>
        </w:rPr>
        <w:t xml:space="preserve">, В. Москаленко, </w:t>
      </w:r>
      <w:r>
        <w:rPr>
          <w:rFonts w:eastAsia="Times New Roman" w:cs="Times New Roman" w:ascii="Times New Roman" w:hAnsi="Times New Roman"/>
          <w:b w:val="false"/>
          <w:bCs w:val="false"/>
          <w:i w:val="false"/>
          <w:iCs w:val="false"/>
          <w:color w:val="000000"/>
          <w:sz w:val="28"/>
          <w:szCs w:val="28"/>
          <w:lang w:val="uk-UA" w:eastAsia="uk-UA"/>
        </w:rPr>
        <w:t>А. </w:t>
      </w:r>
      <w:r>
        <w:rPr>
          <w:rFonts w:eastAsia="Times New Roman" w:cs="Times New Roman" w:ascii="Times New Roman" w:hAnsi="Times New Roman"/>
          <w:b w:val="false"/>
          <w:bCs w:val="false"/>
          <w:i w:val="false"/>
          <w:iCs w:val="false"/>
          <w:color w:val="000000"/>
          <w:sz w:val="28"/>
          <w:szCs w:val="28"/>
          <w:lang w:val="en-US" w:eastAsia="uk-UA"/>
        </w:rPr>
        <w:t>Москальова, С. Оксамитна, М. Ткалич, О. Фальова, Г. Федоришин, О. Чуйко, О. Щотка та ін.</w:t>
      </w:r>
    </w:p>
    <w:p>
      <w:pPr>
        <w:pStyle w:val="Normal"/>
        <w:spacing w:lineRule="auto" w:line="360"/>
        <w:jc w:val="both"/>
        <w:rPr/>
      </w:pPr>
      <w:r>
        <w:rPr>
          <w:rFonts w:eastAsia="Times New Roman" w:cs="Times New Roman" w:ascii="Times New Roman" w:hAnsi="Times New Roman"/>
          <w:b w:val="false"/>
          <w:bCs w:val="false"/>
          <w:i w:val="false"/>
          <w:iCs w:val="false"/>
          <w:color w:val="000000"/>
          <w:sz w:val="28"/>
          <w:szCs w:val="28"/>
          <w:lang w:val="en-US" w:eastAsia="uk-UA"/>
        </w:rPr>
        <w:tab/>
      </w:r>
      <w:r>
        <w:rPr>
          <w:rFonts w:eastAsia="Times New Roman" w:cs="Times New Roman" w:ascii="Times New Roman" w:hAnsi="Times New Roman"/>
          <w:b/>
          <w:bCs/>
          <w:i w:val="false"/>
          <w:iCs w:val="false"/>
          <w:color w:val="000000"/>
          <w:sz w:val="28"/>
          <w:szCs w:val="28"/>
          <w:lang w:val="uk-UA" w:eastAsia="uk-UA"/>
        </w:rPr>
        <w:t>Метою</w:t>
      </w:r>
      <w:r>
        <w:rPr>
          <w:rFonts w:eastAsia="Times New Roman" w:cs="Times New Roman" w:ascii="Times New Roman" w:hAnsi="Times New Roman"/>
          <w:b w:val="false"/>
          <w:bCs w:val="false"/>
          <w:i w:val="false"/>
          <w:iCs w:val="false"/>
          <w:color w:val="000000"/>
          <w:sz w:val="28"/>
          <w:szCs w:val="28"/>
          <w:lang w:val="uk-UA" w:eastAsia="uk-UA"/>
        </w:rPr>
        <w:t xml:space="preserve"> статті є виокремлення та характеристика гендерно-психологічних проблем, які виникають в міжособистісній та діловій взаємодії в організаціях.</w:t>
      </w:r>
    </w:p>
    <w:p>
      <w:pPr>
        <w:pStyle w:val="Normal"/>
        <w:spacing w:lineRule="auto" w:line="360"/>
        <w:jc w:val="both"/>
        <w:rPr/>
      </w:pPr>
      <w:r>
        <w:rPr>
          <w:rFonts w:eastAsia="Times New Roman" w:cs="Times New Roman" w:ascii="Times New Roman" w:hAnsi="Times New Roman"/>
          <w:b w:val="false"/>
          <w:bCs w:val="false"/>
          <w:i w:val="false"/>
          <w:iCs w:val="false"/>
          <w:color w:val="000000"/>
          <w:sz w:val="28"/>
          <w:szCs w:val="28"/>
          <w:lang w:val="uk-UA" w:eastAsia="uk-UA"/>
        </w:rPr>
        <w:tab/>
      </w:r>
      <w:r>
        <w:rPr>
          <w:rFonts w:eastAsia="Times New Roman" w:cs="Times New Roman" w:ascii="Times New Roman" w:hAnsi="Times New Roman"/>
          <w:b/>
          <w:bCs/>
          <w:i w:val="false"/>
          <w:iCs w:val="false"/>
          <w:color w:val="000000"/>
          <w:sz w:val="28"/>
          <w:szCs w:val="28"/>
          <w:lang w:val="uk-UA" w:eastAsia="uk-UA"/>
        </w:rPr>
        <w:t xml:space="preserve">Методи дослідження. </w:t>
      </w:r>
      <w:r>
        <w:rPr>
          <w:rFonts w:eastAsia="Times New Roman" w:cs="Times New Roman" w:ascii="Times New Roman" w:hAnsi="Times New Roman"/>
          <w:b w:val="false"/>
          <w:bCs w:val="false"/>
          <w:i w:val="false"/>
          <w:iCs w:val="false"/>
          <w:color w:val="000000"/>
          <w:sz w:val="28"/>
          <w:szCs w:val="28"/>
          <w:lang w:val="uk-UA" w:eastAsia="uk-UA"/>
        </w:rPr>
        <w:t>Стаття підготовлена на основі використання</w:t>
      </w:r>
      <w:r>
        <w:rPr>
          <w:rFonts w:eastAsia="Times New Roman" w:cs="Times New Roman" w:ascii="Times New Roman" w:hAnsi="Times New Roman"/>
          <w:b/>
          <w:bCs/>
          <w:i w:val="false"/>
          <w:iCs w:val="false"/>
          <w:color w:val="000000"/>
          <w:sz w:val="28"/>
          <w:szCs w:val="28"/>
          <w:lang w:val="uk-UA" w:eastAsia="uk-UA"/>
        </w:rPr>
        <w:t xml:space="preserve"> </w:t>
      </w:r>
      <w:r>
        <w:rPr>
          <w:rFonts w:eastAsia="Times New Roman" w:cs="Times New Roman" w:ascii="Times New Roman" w:hAnsi="Times New Roman"/>
          <w:b w:val="false"/>
          <w:bCs w:val="false"/>
          <w:i w:val="false"/>
          <w:iCs w:val="false"/>
          <w:color w:val="000000"/>
          <w:sz w:val="28"/>
          <w:szCs w:val="28"/>
          <w:lang w:val="uk-UA" w:eastAsia="uk-UA"/>
        </w:rPr>
        <w:t xml:space="preserve">теоретичних методів дослідження, а саме: </w:t>
      </w:r>
      <w:r>
        <w:rPr>
          <w:rFonts w:eastAsia="Times New Roman" w:cs="Times New Roman" w:ascii="Times New Roman" w:hAnsi="Times New Roman"/>
          <w:b w:val="false"/>
          <w:bCs w:val="false"/>
          <w:i w:val="false"/>
          <w:iCs w:val="false"/>
          <w:color w:val="221E1F"/>
          <w:sz w:val="28"/>
          <w:szCs w:val="28"/>
          <w:lang w:val="uk-UA" w:eastAsia="uk-UA"/>
        </w:rPr>
        <w:t xml:space="preserve">методи логіко-психологічного аналізу та узагальнення, конструювання, систематизації, а також метод вивчення нормативних документів. </w:t>
      </w:r>
    </w:p>
    <w:p>
      <w:pPr>
        <w:pStyle w:val="Normal"/>
        <w:spacing w:lineRule="auto" w:line="360"/>
        <w:jc w:val="both"/>
        <w:rPr>
          <w:rFonts w:ascii="Times New Roman" w:hAnsi="Times New Roman"/>
          <w:b w:val="false"/>
          <w:b w:val="false"/>
          <w:bCs w:val="false"/>
          <w:sz w:val="28"/>
          <w:szCs w:val="28"/>
          <w:lang w:val="uk-UA"/>
        </w:rPr>
      </w:pPr>
      <w:r>
        <w:rPr>
          <w:rFonts w:eastAsia="Times New Roman" w:cs="Times New Roman" w:ascii="Times New Roman" w:hAnsi="Times New Roman"/>
          <w:b w:val="false"/>
          <w:bCs w:val="false"/>
          <w:i w:val="false"/>
          <w:iCs w:val="false"/>
          <w:color w:val="000000"/>
          <w:sz w:val="28"/>
          <w:szCs w:val="28"/>
          <w:lang w:val="uk-UA" w:eastAsia="uk-UA"/>
        </w:rPr>
        <w:tab/>
      </w:r>
      <w:r>
        <w:rPr>
          <w:rFonts w:eastAsia="Times New Roman" w:cs="Times New Roman" w:ascii="Times New Roman" w:hAnsi="Times New Roman"/>
          <w:b/>
          <w:bCs/>
          <w:i w:val="false"/>
          <w:iCs w:val="false"/>
          <w:color w:val="000000"/>
          <w:sz w:val="28"/>
          <w:szCs w:val="28"/>
          <w:lang w:val="uk-UA" w:eastAsia="uk-UA"/>
        </w:rPr>
        <w:t>Виклад основного матеріалу.</w:t>
      </w:r>
      <w:r>
        <w:rPr>
          <w:rFonts w:eastAsia="Times New Roman" w:cs="Times New Roman" w:ascii="Times New Roman" w:hAnsi="Times New Roman"/>
          <w:b w:val="false"/>
          <w:bCs w:val="false"/>
          <w:i w:val="false"/>
          <w:iCs w:val="false"/>
          <w:color w:val="000000"/>
          <w:sz w:val="28"/>
          <w:szCs w:val="28"/>
          <w:lang w:val="uk-UA" w:eastAsia="uk-UA"/>
        </w:rPr>
        <w:t xml:space="preserve"> Як вже зазначалося, міжособистісна та ділова взаємодія в організаціях ускладнюється такими гендерно-психологічними проблемами, як гендерна дискримінація, сексизм, гендерні та сексуальні домагання і насильство. Левова частка чинників, що їх детермінують, пов’язана з пануючими в суспільстві гендерними стереотипами і тими гендерними упередженнями, які ними породжуються.</w:t>
      </w:r>
    </w:p>
    <w:p>
      <w:pPr>
        <w:pStyle w:val="Style21"/>
        <w:spacing w:lineRule="auto" w:line="360" w:before="0" w:after="0"/>
        <w:ind w:firstLine="737"/>
        <w:jc w:val="both"/>
        <w:rPr/>
      </w:pPr>
      <w:r>
        <w:rPr>
          <w:rFonts w:cs="PF DinText Pro;PF DinText Pro" w:ascii="Times New Roman" w:hAnsi="Times New Roman"/>
          <w:b/>
          <w:bCs/>
          <w:color w:val="000000"/>
          <w:sz w:val="28"/>
          <w:szCs w:val="28"/>
          <w:lang w:val="uk-UA"/>
        </w:rPr>
        <w:t>Гендерні упередження</w:t>
      </w:r>
      <w:r>
        <w:rPr>
          <w:rFonts w:cs="PF DinText Pro;PF DinText Pro" w:ascii="Times New Roman" w:hAnsi="Times New Roman"/>
          <w:color w:val="000000"/>
          <w:sz w:val="28"/>
          <w:szCs w:val="28"/>
          <w:lang w:val="uk-UA"/>
        </w:rPr>
        <w:t xml:space="preserve"> представляють собою різновид соціальних установок, а тому є доволі міцним і резистентним когнітивним утворенням, яке здебільшого не усвідомлюється, а тому транслюється в зовнішній світ автоматично й безапеляційно. Саме у цьому полягає найбільший деструктивний вплив гендерних упереджень. Їх змістове насичення проявляється в необ’єктивних міркуваннях про представників певної статі, про їх здібності та можливості досягнення успіхів у певних видах діяльності. Це, у свою чергу, породжує їх недооцінку і неприйняття, що супроводжується цілим спектром негативних емоцій та почуттів, крайнім проявом яких є ненависть, яка може вербалізуватись або й проявлятись у фізичній формі як насильство. Таким чином когнітивний, афективний та поведінковий компоненти гендерних упереджень стають важкою, а іноді нездоланною, перешкодою в міжособистісних і ділових стосунках в організаціях.</w:t>
      </w:r>
    </w:p>
    <w:p>
      <w:pPr>
        <w:pStyle w:val="Style21"/>
        <w:spacing w:lineRule="auto" w:line="360" w:before="0" w:after="0"/>
        <w:ind w:firstLine="737"/>
        <w:jc w:val="both"/>
        <w:rPr/>
      </w:pPr>
      <w:r>
        <w:rPr>
          <w:rFonts w:cs="PF DinText Pro;PF DinText Pro" w:ascii="Times New Roman" w:hAnsi="Times New Roman"/>
          <w:color w:val="000000"/>
          <w:sz w:val="28"/>
          <w:szCs w:val="28"/>
          <w:lang w:val="uk-UA"/>
        </w:rPr>
        <w:t xml:space="preserve"> </w:t>
      </w:r>
      <w:r>
        <w:rPr>
          <w:rFonts w:cs="PF DinText Pro;PF DinText Pro" w:ascii="Times New Roman" w:hAnsi="Times New Roman"/>
          <w:color w:val="000000"/>
          <w:sz w:val="28"/>
          <w:szCs w:val="28"/>
          <w:lang w:val="uk-UA"/>
        </w:rPr>
        <w:t xml:space="preserve">Виходячи із міри деструктивності впливу на представників негативно оцінюваної статі, виокремлюють такі </w:t>
      </w:r>
      <w:r>
        <w:rPr>
          <w:rFonts w:cs="PF DinText Pro;PF DinText Pro" w:ascii="Times New Roman" w:hAnsi="Times New Roman"/>
          <w:b/>
          <w:bCs/>
          <w:color w:val="000000"/>
          <w:sz w:val="28"/>
          <w:szCs w:val="28"/>
          <w:lang w:val="uk-UA"/>
        </w:rPr>
        <w:t>форми гендерних упереджень</w:t>
      </w:r>
      <w:r>
        <w:rPr>
          <w:rFonts w:cs="PF DinText Pro;PF DinText Pro" w:ascii="Times New Roman" w:hAnsi="Times New Roman"/>
          <w:b/>
          <w:color w:val="000000"/>
          <w:sz w:val="28"/>
          <w:szCs w:val="28"/>
          <w:lang w:val="uk-UA"/>
        </w:rPr>
        <w:t xml:space="preserve"> </w:t>
      </w:r>
      <w:r>
        <w:rPr>
          <w:rFonts w:cs="PF DinText Pro;PF DinText Pro" w:ascii="Times New Roman" w:hAnsi="Times New Roman"/>
          <w:b w:val="false"/>
          <w:bCs w:val="false"/>
          <w:i w:val="false"/>
          <w:iCs w:val="false"/>
          <w:color w:val="000000"/>
          <w:sz w:val="28"/>
          <w:szCs w:val="28"/>
          <w:lang w:val="uk-UA"/>
        </w:rPr>
        <w:t xml:space="preserve">[1, </w:t>
      </w:r>
      <w:r>
        <w:rPr>
          <w:rFonts w:cs="PF DinText Pro;PF DinText Pro" w:ascii="Times New Roman" w:hAnsi="Times New Roman"/>
          <w:b w:val="false"/>
          <w:bCs w:val="false"/>
          <w:i w:val="false"/>
          <w:iCs w:val="false"/>
          <w:color w:val="000000"/>
          <w:sz w:val="28"/>
          <w:szCs w:val="28"/>
          <w:lang w:val="ru-RU"/>
        </w:rPr>
        <w:t>с</w:t>
      </w:r>
      <w:r>
        <w:rPr>
          <w:rFonts w:cs="PF DinText Pro;PF DinText Pro" w:ascii="Times New Roman" w:hAnsi="Times New Roman"/>
          <w:b w:val="false"/>
          <w:bCs w:val="false"/>
          <w:i w:val="false"/>
          <w:iCs w:val="false"/>
          <w:color w:val="000000"/>
          <w:sz w:val="28"/>
          <w:szCs w:val="28"/>
          <w:lang w:val="uk-UA"/>
        </w:rPr>
        <w:t>. 325-326]</w:t>
      </w:r>
      <w:r>
        <w:rPr>
          <w:rFonts w:cs="PF DinText Pro;PF DinText Pro" w:ascii="Times New Roman" w:hAnsi="Times New Roman"/>
          <w:color w:val="000000"/>
          <w:sz w:val="28"/>
          <w:szCs w:val="28"/>
          <w:lang w:val="uk-UA"/>
        </w:rPr>
        <w:t xml:space="preserve">: </w:t>
      </w:r>
    </w:p>
    <w:p>
      <w:pPr>
        <w:pStyle w:val="Style21"/>
        <w:spacing w:lineRule="auto" w:line="360" w:before="0" w:after="0"/>
        <w:ind w:firstLine="737"/>
        <w:jc w:val="both"/>
        <w:rPr/>
      </w:pPr>
      <w:r>
        <w:rPr>
          <w:rFonts w:cs="PF DinText Pro;PF DinText Pro" w:ascii="Times New Roman" w:hAnsi="Times New Roman"/>
          <w:color w:val="000000"/>
          <w:sz w:val="28"/>
          <w:szCs w:val="28"/>
          <w:lang w:val="uk-UA"/>
        </w:rPr>
        <w:t>а) невербальне вираження антипатії – це найбільш проста і легка форма прояву упереджень, яка виражається у зневажливому тоні, в негативно забарвлених жестах і міміці, демонстрування яких відбувається у ситуаціях невідповідності поведінки представника певної статі гендерно-рольовим приписам і нормам;</w:t>
      </w:r>
    </w:p>
    <w:p>
      <w:pPr>
        <w:pStyle w:val="Style21"/>
        <w:spacing w:lineRule="auto" w:line="360" w:before="0" w:after="0"/>
        <w:ind w:firstLine="737"/>
        <w:jc w:val="both"/>
        <w:rPr/>
      </w:pPr>
      <w:r>
        <w:rPr>
          <w:rFonts w:cs="PF DinText Pro;PF DinText Pro" w:ascii="Times New Roman" w:hAnsi="Times New Roman"/>
          <w:color w:val="000000"/>
          <w:sz w:val="28"/>
          <w:szCs w:val="28"/>
          <w:lang w:val="uk-UA"/>
        </w:rPr>
        <w:t>б) вербальне вираження антипатії – це також відносно легка форма прояву гендерних упереджень, яка виражається в сексистських анекдотах, що висміюють чоловічі чи жіночі якості особистості і особливості поведінки (наприклад, анекдоти про білявок, про жінок-науковців, жінок-водіїв, жінок-керівників і т.д.), у висловлюваннях, що принижують гідність чоловіка чи жінки (наприклад, «Жінкам (чоловікам) цього не зрозуміти», «Жінка повинна мовчати, коли говорить чоловік» і т.д.), а також у тенденції помилково інтерпретувати мотиви їх поведінки (наприклад, «Всі чоловіки думають лише про секс», «Жінкам потрібні лише гроші» і т.д.);</w:t>
      </w:r>
    </w:p>
    <w:p>
      <w:pPr>
        <w:pStyle w:val="Style21"/>
        <w:spacing w:lineRule="auto" w:line="360" w:before="0" w:after="0"/>
        <w:ind w:firstLine="737"/>
        <w:jc w:val="both"/>
        <w:rPr/>
      </w:pPr>
      <w:r>
        <w:rPr>
          <w:rFonts w:cs="PF DinText Pro;PF DinText Pro" w:ascii="Times New Roman" w:hAnsi="Times New Roman"/>
          <w:color w:val="000000"/>
          <w:sz w:val="28"/>
          <w:szCs w:val="28"/>
          <w:lang w:val="uk-UA"/>
        </w:rPr>
        <w:t>в) уникання групи, стосовно якої в людини є упередження – проявляється в різних формах жінконенависництва (наприклад, категоричне неприйняття жінок до деяких чоловічих спільнот або уникання феміністок, які сприймаються як некрасиві і нещасливі в особистому житті жінки, і які ненавидять чоловіків тощо) або чоловіконенависництва;</w:t>
      </w:r>
    </w:p>
    <w:p>
      <w:pPr>
        <w:pStyle w:val="Style21"/>
        <w:spacing w:lineRule="auto" w:line="360" w:before="0" w:after="0"/>
        <w:ind w:firstLine="737"/>
        <w:jc w:val="both"/>
        <w:rPr/>
      </w:pPr>
      <w:r>
        <w:rPr>
          <w:rFonts w:cs="PF DinText Pro;PF DinText Pro" w:ascii="Times New Roman" w:hAnsi="Times New Roman"/>
          <w:color w:val="000000"/>
          <w:sz w:val="28"/>
          <w:szCs w:val="28"/>
          <w:lang w:val="uk-UA"/>
        </w:rPr>
        <w:t>г) дискримінація членів певної групи за ознакою статі – це форма гендерних упереджень, яка проявляється через поведінку з вираженою деструктивністю. Частіше за все вона стосується тих жінок і чоловіків, які претендують або вже працюють у невідповідних своїй статі професіях;</w:t>
      </w:r>
    </w:p>
    <w:p>
      <w:pPr>
        <w:pStyle w:val="Style21"/>
        <w:spacing w:lineRule="auto" w:line="360" w:before="0" w:after="0"/>
        <w:ind w:firstLine="737"/>
        <w:jc w:val="both"/>
        <w:rPr/>
      </w:pPr>
      <w:r>
        <w:rPr>
          <w:rFonts w:cs="PF DinText Pro;PF DinText Pro" w:ascii="Times New Roman" w:hAnsi="Times New Roman"/>
          <w:color w:val="000000"/>
          <w:sz w:val="28"/>
          <w:szCs w:val="28"/>
          <w:lang w:val="uk-UA"/>
        </w:rPr>
        <w:t>д) гендерне насильство – це найважча і найнебезпечніша за мірою деструктивності форма прояву упереджень, пов’язана із втіленими в життя агресивними намірами (зґвалтування, фізичне, психологічне та інше насильство тощо).</w:t>
      </w:r>
    </w:p>
    <w:p>
      <w:pPr>
        <w:pStyle w:val="Style21"/>
        <w:spacing w:lineRule="auto" w:line="360" w:before="0" w:after="0"/>
        <w:ind w:firstLine="737"/>
        <w:jc w:val="both"/>
        <w:rPr/>
      </w:pPr>
      <w:r>
        <w:rPr>
          <w:rFonts w:cs="PF DinText Pro;PF DinText Pro" w:ascii="Times New Roman" w:hAnsi="Times New Roman"/>
          <w:color w:val="000000"/>
          <w:sz w:val="28"/>
          <w:szCs w:val="28"/>
          <w:lang w:val="uk-UA"/>
        </w:rPr>
        <w:t xml:space="preserve">Однією з найбільш поширених форм гендерних упереджень в організаціях є </w:t>
      </w:r>
      <w:r>
        <w:rPr>
          <w:rFonts w:cs="PF DinText Pro;PF DinText Pro" w:ascii="Times New Roman" w:hAnsi="Times New Roman"/>
          <w:b/>
          <w:bCs/>
          <w:color w:val="000000"/>
          <w:sz w:val="28"/>
          <w:szCs w:val="28"/>
          <w:lang w:val="uk-UA"/>
        </w:rPr>
        <w:t>сексизм</w:t>
      </w:r>
      <w:r>
        <w:rPr>
          <w:rFonts w:cs="PF DinText Pro;PF DinText Pro" w:ascii="Times New Roman" w:hAnsi="Times New Roman"/>
          <w:color w:val="000000"/>
          <w:sz w:val="28"/>
          <w:szCs w:val="28"/>
          <w:lang w:val="uk-UA"/>
        </w:rPr>
        <w:t>. Цей термін</w:t>
      </w:r>
      <w:r>
        <w:rPr>
          <w:rFonts w:eastAsia="Times New Roman" w:cs="PF DinText Pro;PF DinText Pro" w:ascii="Times New Roman" w:hAnsi="Times New Roman"/>
          <w:b w:val="false"/>
          <w:bCs w:val="false"/>
          <w:i w:val="false"/>
          <w:iCs w:val="false"/>
          <w:color w:val="000000"/>
          <w:sz w:val="28"/>
          <w:szCs w:val="28"/>
          <w:lang w:val="uk-UA" w:eastAsia="uk-UA"/>
        </w:rPr>
        <w:t xml:space="preserve"> </w:t>
      </w:r>
      <w:r>
        <w:rPr>
          <w:rFonts w:ascii="Times New Roman" w:hAnsi="Times New Roman"/>
          <w:color w:val="000000"/>
          <w:sz w:val="28"/>
          <w:szCs w:val="28"/>
          <w:lang w:val="uk-UA"/>
        </w:rPr>
        <w:t xml:space="preserve">зародився в 60-х роках ХХ ст. завдяки феміністичному руху в США. Сьогодні одні дослідники вважають його формою прояву дискримінації за ознакою статі, а інші </w:t>
      </w:r>
      <w:r>
        <w:rPr>
          <w:rFonts w:cs="PF DinText Pro;PF DinText Pro" w:ascii="Times New Roman" w:hAnsi="Times New Roman"/>
          <w:color w:val="000000"/>
          <w:sz w:val="28"/>
          <w:szCs w:val="28"/>
          <w:lang w:val="uk-UA"/>
        </w:rPr>
        <w:t>–</w:t>
      </w:r>
      <w:r>
        <w:rPr>
          <w:rFonts w:ascii="Times New Roman" w:hAnsi="Times New Roman"/>
          <w:color w:val="000000"/>
          <w:sz w:val="28"/>
          <w:szCs w:val="28"/>
          <w:lang w:val="uk-UA"/>
        </w:rPr>
        <w:t xml:space="preserve"> синонімом поняття «гендерна дискримінація», але в обох випадках його смисл залишається незмінним – демонстрація переваги однієї статі над іншою.</w:t>
      </w:r>
    </w:p>
    <w:p>
      <w:pPr>
        <w:pStyle w:val="Normal"/>
        <w:spacing w:lineRule="auto" w:line="360"/>
        <w:ind w:firstLine="737"/>
        <w:jc w:val="both"/>
        <w:rPr/>
      </w:pPr>
      <w:r>
        <w:rPr>
          <w:rFonts w:ascii="Times New Roman" w:hAnsi="Times New Roman"/>
          <w:color w:val="000000"/>
          <w:sz w:val="28"/>
          <w:szCs w:val="28"/>
          <w:lang w:val="uk-UA"/>
        </w:rPr>
        <w:t xml:space="preserve">У гендерній психології </w:t>
      </w:r>
      <w:r>
        <w:rPr>
          <w:rFonts w:ascii="Times New Roman" w:hAnsi="Times New Roman"/>
          <w:b w:val="false"/>
          <w:bCs w:val="false"/>
          <w:color w:val="000000"/>
          <w:sz w:val="28"/>
          <w:szCs w:val="28"/>
          <w:lang w:val="uk-UA"/>
        </w:rPr>
        <w:t>сексизм</w:t>
      </w:r>
      <w:r>
        <w:rPr>
          <w:rFonts w:ascii="Times New Roman" w:hAnsi="Times New Roman"/>
          <w:color w:val="000000"/>
          <w:sz w:val="28"/>
          <w:szCs w:val="28"/>
          <w:lang w:val="uk-UA"/>
        </w:rPr>
        <w:t xml:space="preserve"> визначається як ідеологія і практика дискримінації людей за ознакою статі, заснована на установках або переконаннях, відповідно до яких жінкам (або чоловікам) помилково приписують певні риси або заперечують їх наявність [2, </w:t>
      </w:r>
      <w:r>
        <w:rPr>
          <w:rFonts w:ascii="Times New Roman" w:hAnsi="Times New Roman"/>
          <w:color w:val="000000"/>
          <w:sz w:val="28"/>
          <w:szCs w:val="28"/>
          <w:lang w:val="ru-RU"/>
        </w:rPr>
        <w:t>с</w:t>
      </w:r>
      <w:r>
        <w:rPr>
          <w:rFonts w:ascii="Times New Roman" w:hAnsi="Times New Roman"/>
          <w:color w:val="000000"/>
          <w:sz w:val="28"/>
          <w:szCs w:val="28"/>
          <w:lang w:val="uk-UA"/>
        </w:rPr>
        <w:t xml:space="preserve">. 193].  </w:t>
      </w:r>
    </w:p>
    <w:p>
      <w:pPr>
        <w:pStyle w:val="Style21"/>
        <w:spacing w:lineRule="auto" w:line="360" w:before="0" w:after="0"/>
        <w:ind w:firstLine="737"/>
        <w:jc w:val="both"/>
        <w:rPr/>
      </w:pPr>
      <w:r>
        <w:rPr>
          <w:rStyle w:val="A0"/>
          <w:rFonts w:ascii="Times New Roman" w:hAnsi="Times New Roman"/>
          <w:sz w:val="28"/>
          <w:szCs w:val="28"/>
          <w:lang w:val="uk-UA"/>
        </w:rPr>
        <w:t>Таким чином, сексизм ґрунтується на упередженні стосовно певної статі, яке породжується негативною соціальною установкою з викривленим змістом, внаслідок якої формується необ’єктивна думка стосовно представників цієї статі. Частіше за все жертвами сексизму є жінки, хоча  існує й жіночий сексизм, спрямований проти чоловіків.</w:t>
      </w:r>
    </w:p>
    <w:p>
      <w:pPr>
        <w:pStyle w:val="Normal"/>
        <w:spacing w:lineRule="auto" w:line="360"/>
        <w:ind w:firstLine="737"/>
        <w:jc w:val="both"/>
        <w:rPr/>
      </w:pPr>
      <w:r>
        <w:rPr>
          <w:rFonts w:ascii="Times New Roman" w:hAnsi="Times New Roman"/>
          <w:color w:val="000000"/>
          <w:sz w:val="28"/>
          <w:szCs w:val="28"/>
          <w:lang w:val="uk-UA"/>
        </w:rPr>
        <w:t xml:space="preserve">Американський науковець і дослідник у галузі психології Тодд Нельсон  виділяє такі </w:t>
      </w:r>
      <w:r>
        <w:rPr>
          <w:rFonts w:ascii="Times New Roman" w:hAnsi="Times New Roman"/>
          <w:b/>
          <w:color w:val="000000"/>
          <w:sz w:val="28"/>
          <w:szCs w:val="28"/>
          <w:lang w:val="uk-UA"/>
        </w:rPr>
        <w:t xml:space="preserve">типи сексизму </w:t>
      </w:r>
      <w:r>
        <w:rPr>
          <w:rFonts w:ascii="Times New Roman" w:hAnsi="Times New Roman"/>
          <w:b w:val="false"/>
          <w:bCs w:val="false"/>
          <w:i w:val="false"/>
          <w:iCs w:val="false"/>
          <w:color w:val="000000"/>
          <w:sz w:val="28"/>
          <w:szCs w:val="28"/>
          <w:lang w:val="uk-UA"/>
        </w:rPr>
        <w:t xml:space="preserve">[3, </w:t>
      </w:r>
      <w:r>
        <w:rPr>
          <w:rFonts w:ascii="Times New Roman" w:hAnsi="Times New Roman"/>
          <w:b w:val="false"/>
          <w:bCs w:val="false"/>
          <w:i w:val="false"/>
          <w:iCs w:val="false"/>
          <w:color w:val="000000"/>
          <w:sz w:val="28"/>
          <w:szCs w:val="28"/>
          <w:lang w:val="ru-RU"/>
        </w:rPr>
        <w:t>с</w:t>
      </w:r>
      <w:r>
        <w:rPr>
          <w:rFonts w:ascii="Times New Roman" w:hAnsi="Times New Roman"/>
          <w:b w:val="false"/>
          <w:bCs w:val="false"/>
          <w:i w:val="false"/>
          <w:iCs w:val="false"/>
          <w:color w:val="000000"/>
          <w:sz w:val="28"/>
          <w:szCs w:val="28"/>
          <w:lang w:val="uk-UA"/>
        </w:rPr>
        <w:t xml:space="preserve">. 309-315]: </w:t>
      </w:r>
    </w:p>
    <w:p>
      <w:pPr>
        <w:pStyle w:val="Normal"/>
        <w:spacing w:lineRule="auto" w:line="360"/>
        <w:ind w:firstLine="737"/>
        <w:jc w:val="both"/>
        <w:rPr>
          <w:rFonts w:ascii="Times New Roman" w:hAnsi="Times New Roman"/>
          <w:color w:val="000000"/>
          <w:sz w:val="28"/>
          <w:szCs w:val="28"/>
          <w:lang w:val="uk-UA"/>
        </w:rPr>
      </w:pPr>
      <w:r>
        <w:rPr>
          <w:rFonts w:ascii="Times New Roman" w:hAnsi="Times New Roman"/>
          <w:color w:val="000000"/>
          <w:sz w:val="28"/>
          <w:szCs w:val="28"/>
          <w:lang w:val="uk-UA"/>
        </w:rPr>
        <w:t>1) старомодний і сучасний сексизм.</w:t>
      </w:r>
    </w:p>
    <w:p>
      <w:pPr>
        <w:pStyle w:val="Normal"/>
        <w:spacing w:lineRule="auto" w:line="360"/>
        <w:ind w:firstLine="737"/>
        <w:jc w:val="both"/>
        <w:rPr/>
      </w:pPr>
      <w:r>
        <w:rPr>
          <w:rFonts w:ascii="Times New Roman" w:hAnsi="Times New Roman"/>
          <w:color w:val="000000"/>
          <w:sz w:val="28"/>
          <w:szCs w:val="28"/>
          <w:lang w:val="uk-UA"/>
        </w:rPr>
        <w:t>Старомодний сексизм характеризується підтримкою традиційних гендерних ролей, неоднаковим ставленням до чоловіків і жінок та стереотипами про меншу компетентність жінок. Сучасний сексизм заперечує факти дискримінації жінок і ворожого ставлення до рівноправності, а також заявляє про підтримку програм і законів, які створюються для допомоги жінкам. Однак це відбувається лише до того часу, поки сексисти (здебільшого чоловіки) не починають відчувати загрозу своєму домінуючому становищу в суспільстві. При загрозі ж вони можуть чинити опір законам, що покликані забезпечувати рівність статей, та ігнорувати дійсне становище жінок, заявляючи, що такої проблеми, як дискримінація жінок, в сучасному світі не існує. Деякі дослідники називають сучасний сексизм неосексизмом, зазначаючи, що він трансформувався з відкритого ворожого упередження щодо жінок у більш прихований, важковловимий тип сексизму;</w:t>
      </w:r>
    </w:p>
    <w:p>
      <w:pPr>
        <w:pStyle w:val="Normal"/>
        <w:spacing w:lineRule="auto" w:line="360"/>
        <w:ind w:firstLine="737"/>
        <w:jc w:val="both"/>
        <w:rPr>
          <w:rFonts w:ascii="Times New Roman" w:hAnsi="Times New Roman"/>
          <w:sz w:val="28"/>
          <w:szCs w:val="28"/>
        </w:rPr>
      </w:pPr>
      <w:r>
        <w:rPr>
          <w:rFonts w:ascii="Times New Roman" w:hAnsi="Times New Roman"/>
          <w:color w:val="000000"/>
          <w:sz w:val="28"/>
          <w:szCs w:val="28"/>
          <w:lang w:val="uk-UA"/>
        </w:rPr>
        <w:t xml:space="preserve">2) ворожий і доброзичливий сексизм. </w:t>
      </w:r>
    </w:p>
    <w:p>
      <w:pPr>
        <w:pStyle w:val="Normal"/>
        <w:spacing w:lineRule="auto" w:line="360"/>
        <w:ind w:firstLine="737"/>
        <w:jc w:val="both"/>
        <w:rPr/>
      </w:pPr>
      <w:r>
        <w:rPr>
          <w:rFonts w:ascii="Times New Roman" w:hAnsi="Times New Roman"/>
          <w:color w:val="000000"/>
          <w:sz w:val="28"/>
          <w:szCs w:val="28"/>
          <w:lang w:val="uk-UA"/>
        </w:rPr>
        <w:t xml:space="preserve">Ворожий сексизм проявляється як негативна установка щодо жінок, яка включає в себе переконання про їх неповноцінність порівняно з чоловіками, про їх більш низький рівень інтелекту та компетентності. </w:t>
      </w:r>
      <w:r>
        <w:rPr>
          <w:rFonts w:ascii="Times New Roman" w:hAnsi="Times New Roman"/>
          <w:color w:val="000000"/>
          <w:sz w:val="28"/>
          <w:szCs w:val="28"/>
        </w:rPr>
        <w:t xml:space="preserve">Доброзичливий сексизм </w:t>
      </w:r>
      <w:r>
        <w:rPr>
          <w:rFonts w:ascii="Times New Roman" w:hAnsi="Times New Roman"/>
          <w:color w:val="000000"/>
          <w:sz w:val="28"/>
          <w:szCs w:val="28"/>
          <w:lang w:val="uk-UA"/>
        </w:rPr>
        <w:t>побудований на</w:t>
      </w:r>
      <w:r>
        <w:rPr>
          <w:rFonts w:ascii="Times New Roman" w:hAnsi="Times New Roman"/>
          <w:color w:val="000000"/>
          <w:sz w:val="28"/>
          <w:szCs w:val="28"/>
        </w:rPr>
        <w:t xml:space="preserve"> систем</w:t>
      </w:r>
      <w:r>
        <w:rPr>
          <w:rFonts w:ascii="Times New Roman" w:hAnsi="Times New Roman"/>
          <w:color w:val="000000"/>
          <w:sz w:val="28"/>
          <w:szCs w:val="28"/>
          <w:lang w:val="uk-UA"/>
        </w:rPr>
        <w:t>і</w:t>
      </w:r>
      <w:r>
        <w:rPr>
          <w:rFonts w:ascii="Times New Roman" w:hAnsi="Times New Roman"/>
          <w:color w:val="000000"/>
          <w:sz w:val="28"/>
          <w:szCs w:val="28"/>
        </w:rPr>
        <w:t xml:space="preserve"> традиційних переконань про жінок</w:t>
      </w:r>
      <w:r>
        <w:rPr>
          <w:rFonts w:ascii="Times New Roman" w:hAnsi="Times New Roman"/>
          <w:color w:val="000000"/>
          <w:sz w:val="28"/>
          <w:szCs w:val="28"/>
          <w:lang w:val="uk-UA"/>
        </w:rPr>
        <w:t>, які</w:t>
      </w:r>
      <w:r>
        <w:rPr>
          <w:rFonts w:ascii="Times New Roman" w:hAnsi="Times New Roman"/>
          <w:color w:val="000000"/>
          <w:sz w:val="28"/>
          <w:szCs w:val="28"/>
        </w:rPr>
        <w:t xml:space="preserve"> породжу</w:t>
      </w:r>
      <w:r>
        <w:rPr>
          <w:rFonts w:ascii="Times New Roman" w:hAnsi="Times New Roman"/>
          <w:color w:val="000000"/>
          <w:sz w:val="28"/>
          <w:szCs w:val="28"/>
          <w:lang w:val="uk-UA"/>
        </w:rPr>
        <w:t>ють</w:t>
      </w:r>
      <w:r>
        <w:rPr>
          <w:rFonts w:ascii="Times New Roman" w:hAnsi="Times New Roman"/>
          <w:color w:val="000000"/>
          <w:sz w:val="28"/>
          <w:szCs w:val="28"/>
        </w:rPr>
        <w:t xml:space="preserve"> позитивні почуття в тому, хто їх </w:t>
      </w:r>
      <w:r>
        <w:rPr>
          <w:rFonts w:ascii="Times New Roman" w:hAnsi="Times New Roman"/>
          <w:color w:val="000000"/>
          <w:sz w:val="28"/>
          <w:szCs w:val="28"/>
          <w:lang w:val="uk-UA"/>
        </w:rPr>
        <w:t>поділяє</w:t>
      </w:r>
      <w:r>
        <w:rPr>
          <w:rFonts w:ascii="Times New Roman" w:hAnsi="Times New Roman"/>
          <w:color w:val="000000"/>
          <w:sz w:val="28"/>
          <w:szCs w:val="28"/>
        </w:rPr>
        <w:t>. Однак цей тип сексизму</w:t>
      </w:r>
      <w:r>
        <w:rPr>
          <w:rFonts w:ascii="Times New Roman" w:hAnsi="Times New Roman"/>
          <w:color w:val="000000"/>
          <w:sz w:val="28"/>
          <w:szCs w:val="28"/>
          <w:lang w:val="uk-UA"/>
        </w:rPr>
        <w:t xml:space="preserve"> все ж таки</w:t>
      </w:r>
      <w:r>
        <w:rPr>
          <w:rFonts w:ascii="Times New Roman" w:hAnsi="Times New Roman"/>
          <w:color w:val="000000"/>
          <w:sz w:val="28"/>
          <w:szCs w:val="28"/>
        </w:rPr>
        <w:t xml:space="preserve"> підтримує стереотипне сприйняття жінок, оскільки </w:t>
      </w:r>
      <w:r>
        <w:rPr>
          <w:rFonts w:ascii="Times New Roman" w:hAnsi="Times New Roman"/>
          <w:color w:val="000000"/>
          <w:sz w:val="28"/>
          <w:szCs w:val="28"/>
          <w:lang w:val="uk-UA"/>
        </w:rPr>
        <w:t>ґрунтується</w:t>
      </w:r>
      <w:r>
        <w:rPr>
          <w:rFonts w:ascii="Times New Roman" w:hAnsi="Times New Roman"/>
          <w:color w:val="000000"/>
          <w:sz w:val="28"/>
          <w:szCs w:val="28"/>
        </w:rPr>
        <w:t xml:space="preserve"> на </w:t>
      </w:r>
      <w:r>
        <w:rPr>
          <w:rFonts w:ascii="Times New Roman" w:hAnsi="Times New Roman"/>
          <w:color w:val="000000"/>
          <w:sz w:val="28"/>
          <w:szCs w:val="28"/>
          <w:lang w:val="uk-UA"/>
        </w:rPr>
        <w:t>ідеї про</w:t>
      </w:r>
      <w:r>
        <w:rPr>
          <w:rFonts w:ascii="Times New Roman" w:hAnsi="Times New Roman"/>
          <w:color w:val="000000"/>
          <w:sz w:val="28"/>
          <w:szCs w:val="28"/>
        </w:rPr>
        <w:t xml:space="preserve"> переваг</w:t>
      </w:r>
      <w:r>
        <w:rPr>
          <w:rFonts w:ascii="Times New Roman" w:hAnsi="Times New Roman"/>
          <w:color w:val="000000"/>
          <w:sz w:val="28"/>
          <w:szCs w:val="28"/>
          <w:lang w:val="uk-UA"/>
        </w:rPr>
        <w:t>у</w:t>
      </w:r>
      <w:r>
        <w:rPr>
          <w:rFonts w:ascii="Times New Roman" w:hAnsi="Times New Roman"/>
          <w:color w:val="000000"/>
          <w:sz w:val="28"/>
          <w:szCs w:val="28"/>
        </w:rPr>
        <w:t xml:space="preserve"> чоловіків. </w:t>
      </w:r>
    </w:p>
    <w:p>
      <w:pPr>
        <w:pStyle w:val="Normal"/>
        <w:spacing w:lineRule="auto" w:line="360"/>
        <w:ind w:firstLine="737"/>
        <w:jc w:val="both"/>
        <w:rPr/>
      </w:pPr>
      <w:r>
        <w:rPr>
          <w:rFonts w:ascii="Times New Roman" w:hAnsi="Times New Roman"/>
          <w:color w:val="000000"/>
          <w:sz w:val="28"/>
          <w:szCs w:val="28"/>
          <w:lang w:val="uk-UA"/>
        </w:rPr>
        <w:t>Ворожий і доброзичливий сексизм корелюють між собою, оскільки розглядають жінок як «слабку стать», яка повинна виконувати домашні й допоміжні ролі в суспільстві. Доброзичливі сексисти прагнуть захищати жінок, вони поважають і захоплюються ними як матерями і дружинами, ідеалізують їх як романтичні об’єкти любові. Ворожі сексисти більш жорсткі, вони сприймають жінок як нездатних займати владні позиції. Разом із цим, існують й амбівалентні сексисти – це сексисти, які не мають негативних установок стосовно всіх жінок. Однак якщо поведінка жінки виходить за межі традиційних гендерних стереотипів (тобто вона є «кар’єристкою» чи «феміністкою»), амбівалентні сексисти перетворюються на ворожих, а якщо жінка відповідає стереотипам, вони демонструють доброзичливий сексизм.  Тобто амбівалентні сексисти стереотипно негативно реагують на одних жінок і стереотипно позитивно – на інших.</w:t>
      </w:r>
    </w:p>
    <w:p>
      <w:pPr>
        <w:pStyle w:val="Normal"/>
        <w:spacing w:lineRule="auto" w:line="360"/>
        <w:ind w:firstLine="737"/>
        <w:jc w:val="both"/>
        <w:rPr/>
      </w:pPr>
      <w:r>
        <w:rPr>
          <w:rFonts w:ascii="Times New Roman" w:hAnsi="Times New Roman"/>
          <w:color w:val="000000"/>
          <w:sz w:val="28"/>
          <w:szCs w:val="28"/>
          <w:lang w:val="uk-UA"/>
        </w:rPr>
        <w:t>Таким чином, будь-який тип сексизму явно чи приховано поділяє існуючі в суспільстві гендерні стереотипи, закріплюючи за чоловіками право домінувати, а за жінками – підкорятися.</w:t>
      </w:r>
    </w:p>
    <w:p>
      <w:pPr>
        <w:pStyle w:val="Normal"/>
        <w:spacing w:lineRule="auto" w:line="360"/>
        <w:ind w:firstLine="737"/>
        <w:jc w:val="both"/>
        <w:rPr/>
      </w:pPr>
      <w:r>
        <w:rPr>
          <w:rFonts w:ascii="Times New Roman" w:hAnsi="Times New Roman"/>
          <w:color w:val="000000"/>
          <w:sz w:val="28"/>
          <w:szCs w:val="28"/>
          <w:lang w:val="uk-UA"/>
        </w:rPr>
        <w:t xml:space="preserve">В організаціях сексизм проявляється у вербальній та невербальній формах і може бути присутнім як в міжособистісних, так і у ділових стосунках. Іншими словами, коли оцінка професійних та особистісних якостей людини залежить від її статі, це завжди свідчить про наявність сексизму. </w:t>
      </w:r>
    </w:p>
    <w:p>
      <w:pPr>
        <w:pStyle w:val="Normal"/>
        <w:spacing w:lineRule="auto" w:line="360"/>
        <w:ind w:firstLine="737"/>
        <w:jc w:val="both"/>
        <w:rPr/>
      </w:pPr>
      <w:r>
        <w:rPr>
          <w:rFonts w:ascii="Times New Roman" w:hAnsi="Times New Roman"/>
          <w:color w:val="000000"/>
          <w:sz w:val="28"/>
          <w:szCs w:val="28"/>
          <w:lang w:val="uk-UA"/>
        </w:rPr>
        <w:t>Як вже зазначалось, сексизм є однією з форм гендерної дискримінації, яка загалом в організаціях виражається через горизонтальну і вертикальну сегрегацію, а також через більш низьку оплату праці жінок порівняно з чоловіками. Горизонтальна сегрегація проявляється в обмеженні можливостей жінок щодо працевлаштування у «чоловічих» професіях та галузях (і відповідно до цього – у можливостях здобувати освіту за профілем чоловічої роботи), а у вертикальній – в обмеженні їх кар’єрного зростання. І навіть якщо воно відбувається, у жінок це проходить за ускладненим і розтягнутим у часі «сценарієм».</w:t>
      </w:r>
    </w:p>
    <w:p>
      <w:pPr>
        <w:pStyle w:val="Normal"/>
        <w:spacing w:lineRule="auto" w:line="360"/>
        <w:ind w:firstLine="737"/>
        <w:jc w:val="both"/>
        <w:rPr/>
      </w:pPr>
      <w:r>
        <w:rPr>
          <w:rFonts w:ascii="Times New Roman" w:hAnsi="Times New Roman"/>
          <w:color w:val="000000"/>
          <w:sz w:val="28"/>
          <w:szCs w:val="28"/>
          <w:lang w:val="uk-UA"/>
        </w:rPr>
        <w:t xml:space="preserve">Сексизм виступає не єдиним проявом гендерної дискримінації у професійній сфері. До інших її проявів науковці (в основному зарубіжні) відносять гендерні і сексуальні домагання, а також насильство. </w:t>
      </w:r>
    </w:p>
    <w:p>
      <w:pPr>
        <w:pStyle w:val="Normal"/>
        <w:spacing w:lineRule="auto" w:line="360"/>
        <w:ind w:firstLine="737"/>
        <w:jc w:val="both"/>
        <w:rPr/>
      </w:pPr>
      <w:r>
        <w:rPr>
          <w:rFonts w:ascii="Times New Roman" w:hAnsi="Times New Roman"/>
          <w:color w:val="000000"/>
          <w:sz w:val="28"/>
          <w:szCs w:val="28"/>
          <w:lang w:val="uk-UA"/>
        </w:rPr>
        <w:t xml:space="preserve">Гендерні домагання і сексуальні домагання вважаються спорідненими, але не тотожними поняттями. </w:t>
      </w:r>
      <w:r>
        <w:rPr>
          <w:rFonts w:ascii="Times New Roman" w:hAnsi="Times New Roman"/>
          <w:b/>
          <w:color w:val="000000"/>
          <w:sz w:val="28"/>
          <w:szCs w:val="28"/>
          <w:lang w:val="uk-UA"/>
        </w:rPr>
        <w:t xml:space="preserve">Гендерні домагання </w:t>
      </w:r>
      <w:r>
        <w:rPr>
          <w:rFonts w:ascii="Times New Roman" w:hAnsi="Times New Roman"/>
          <w:color w:val="000000"/>
          <w:sz w:val="28"/>
          <w:szCs w:val="28"/>
          <w:lang w:val="uk-UA"/>
        </w:rPr>
        <w:t xml:space="preserve">(або по-іншому, домагання на основі статі) є ширшим поняттям, оскільки не зводиться лише до дій сексуального характеру (як при сексуальних домаганнях), а включає в себе будь-які дії, які принижують особу іншої статі, яка перебуває з кривдником у певних трудових відносинах. В основі гендерних домагань лежать усталені стереотипи щодо статево-рольової поведінки </w:t>
      </w:r>
      <w:r>
        <w:rPr>
          <w:rFonts w:ascii="Times New Roman" w:hAnsi="Times New Roman"/>
          <w:color w:val="000000"/>
          <w:sz w:val="28"/>
          <w:szCs w:val="28"/>
        </w:rPr>
        <w:t>[4</w:t>
      </w:r>
      <w:r>
        <w:rPr>
          <w:rFonts w:ascii="Times New Roman" w:hAnsi="Times New Roman"/>
          <w:color w:val="000000"/>
          <w:sz w:val="28"/>
          <w:szCs w:val="28"/>
          <w:lang w:val="uk-UA"/>
        </w:rPr>
        <w:t xml:space="preserve">, </w:t>
      </w:r>
      <w:r>
        <w:rPr>
          <w:rFonts w:ascii="Times New Roman" w:hAnsi="Times New Roman"/>
          <w:color w:val="000000"/>
          <w:sz w:val="28"/>
          <w:szCs w:val="28"/>
          <w:lang w:val="ru-RU"/>
        </w:rPr>
        <w:t>с</w:t>
      </w:r>
      <w:r>
        <w:rPr>
          <w:rFonts w:ascii="Times New Roman" w:hAnsi="Times New Roman"/>
          <w:color w:val="000000"/>
          <w:sz w:val="28"/>
          <w:szCs w:val="28"/>
          <w:lang w:val="uk-UA"/>
        </w:rPr>
        <w:t>. 52</w:t>
      </w:r>
      <w:r>
        <w:rPr>
          <w:rFonts w:ascii="Times New Roman" w:hAnsi="Times New Roman"/>
          <w:color w:val="000000"/>
          <w:sz w:val="28"/>
          <w:szCs w:val="28"/>
        </w:rPr>
        <w:t>]</w:t>
      </w:r>
      <w:r>
        <w:rPr>
          <w:rFonts w:ascii="Times New Roman" w:hAnsi="Times New Roman"/>
          <w:color w:val="000000"/>
          <w:sz w:val="28"/>
          <w:szCs w:val="28"/>
          <w:lang w:val="uk-UA"/>
        </w:rPr>
        <w:t>. Саме тому, якщо у трудовому колективі виникають ситуації, пов’язані із виконанням непрофесійно орієнтованих завдань (наприклад, якісь технічні завдання – заміна перегорілої лампочки, чи під’єднання комп’ютерів або іншої техніки, а в іншому випадку – побутові завдання, такі як прибирання приміщення після святкування якоїсь події на роботі, чи приготування кави і т.д.), їх «за замовчуванням» доручають чоловікам або жінкам відповідно до існуючих гендерних стереотипів. А при виконанні професійно орієнтованих завдань гендерні домагання можуть проявлятись як недооцінка потенціалу чи можливостей жінки, внаслідок чого певне відповідальне завдання доручається не їй, а представнику чоловічої статі тощо.</w:t>
      </w:r>
    </w:p>
    <w:p>
      <w:pPr>
        <w:pStyle w:val="Normal"/>
        <w:spacing w:lineRule="auto" w:line="360"/>
        <w:ind w:firstLine="737"/>
        <w:jc w:val="both"/>
        <w:rPr/>
      </w:pPr>
      <w:r>
        <w:rPr>
          <w:rFonts w:ascii="Times New Roman" w:hAnsi="Times New Roman"/>
          <w:color w:val="000000"/>
          <w:sz w:val="28"/>
          <w:szCs w:val="28"/>
          <w:lang w:val="uk-UA"/>
        </w:rPr>
        <w:t>Не дивлячись на обґрунтовану доцільність у розмежуванні понять гендерні домагання і сексуальні домагання, в юриспруденції, соціології та психології існує практика більш частішого використання саме останнього. Проблема сексуальних домагань на робочому місці почала активно вивчатись із середини 90-х років ХХ ст. Однак у той час вона ще не була самостійним предметом наукових досліджень, а вивчалася в контексті таких проблем, як дискримінація жінок в армії та в правоохоронних органах, стан жіночого (в тому числі й сексуального) здоров</w:t>
      </w:r>
      <w:r>
        <w:rPr>
          <w:rFonts w:ascii="Times New Roman" w:hAnsi="Times New Roman"/>
          <w:color w:val="000000"/>
          <w:sz w:val="28"/>
          <w:szCs w:val="28"/>
        </w:rPr>
        <w:t>’</w:t>
      </w:r>
      <w:r>
        <w:rPr>
          <w:rFonts w:ascii="Times New Roman" w:hAnsi="Times New Roman"/>
          <w:color w:val="000000"/>
          <w:sz w:val="28"/>
          <w:szCs w:val="28"/>
          <w:lang w:val="uk-UA"/>
        </w:rPr>
        <w:t xml:space="preserve">я, а також зґвалтування і примусовий секс </w:t>
      </w:r>
      <w:r>
        <w:rPr>
          <w:rFonts w:ascii="Times New Roman" w:hAnsi="Times New Roman"/>
          <w:color w:val="000000"/>
          <w:sz w:val="28"/>
          <w:szCs w:val="28"/>
        </w:rPr>
        <w:t>[5</w:t>
      </w:r>
      <w:r>
        <w:rPr>
          <w:rFonts w:ascii="Times New Roman" w:hAnsi="Times New Roman"/>
          <w:color w:val="000000"/>
          <w:sz w:val="28"/>
          <w:szCs w:val="28"/>
          <w:lang w:val="uk-UA"/>
        </w:rPr>
        <w:t xml:space="preserve">, </w:t>
      </w:r>
      <w:r>
        <w:rPr>
          <w:rFonts w:ascii="Times New Roman" w:hAnsi="Times New Roman"/>
          <w:color w:val="000000"/>
          <w:sz w:val="28"/>
          <w:szCs w:val="28"/>
          <w:lang w:val="ru-RU"/>
        </w:rPr>
        <w:t>с</w:t>
      </w:r>
      <w:r>
        <w:rPr>
          <w:rFonts w:ascii="Times New Roman" w:hAnsi="Times New Roman"/>
          <w:color w:val="000000"/>
          <w:sz w:val="28"/>
          <w:szCs w:val="28"/>
          <w:lang w:val="uk-UA"/>
        </w:rPr>
        <w:t>. 5</w:t>
      </w:r>
      <w:r>
        <w:rPr>
          <w:rFonts w:ascii="Times New Roman" w:hAnsi="Times New Roman"/>
          <w:color w:val="000000"/>
          <w:sz w:val="28"/>
          <w:szCs w:val="28"/>
        </w:rPr>
        <w:t>]</w:t>
      </w:r>
      <w:r>
        <w:rPr>
          <w:rFonts w:ascii="Times New Roman" w:hAnsi="Times New Roman"/>
          <w:color w:val="000000"/>
          <w:sz w:val="28"/>
          <w:szCs w:val="28"/>
          <w:lang w:val="uk-UA"/>
        </w:rPr>
        <w:t xml:space="preserve">. </w:t>
      </w:r>
    </w:p>
    <w:p>
      <w:pPr>
        <w:pStyle w:val="Normal"/>
        <w:spacing w:lineRule="auto" w:line="360"/>
        <w:ind w:firstLine="708"/>
        <w:jc w:val="both"/>
        <w:rPr/>
      </w:pPr>
      <w:r>
        <w:rPr>
          <w:rFonts w:ascii="Times New Roman" w:hAnsi="Times New Roman"/>
          <w:color w:val="000000"/>
          <w:sz w:val="28"/>
          <w:szCs w:val="28"/>
          <w:lang w:val="uk-UA"/>
        </w:rPr>
        <w:t xml:space="preserve">Вперше термін «сексуальне домагання» був роз’яснений у Загальній рекомендації №19 до ст.11 Конвенції ООН про ліквідацію всіх форм дискримінації щодо жінок. Зокрема в ній вказано, що </w:t>
      </w:r>
      <w:r>
        <w:rPr>
          <w:rFonts w:ascii="Times New Roman" w:hAnsi="Times New Roman"/>
          <w:iCs/>
          <w:color w:val="000000"/>
          <w:sz w:val="28"/>
          <w:szCs w:val="28"/>
        </w:rPr>
        <w:t>«</w:t>
      </w:r>
      <w:r>
        <w:rPr>
          <w:rFonts w:ascii="Times New Roman" w:hAnsi="Times New Roman"/>
          <w:b/>
          <w:bCs/>
          <w:iCs/>
          <w:color w:val="000000"/>
          <w:sz w:val="28"/>
          <w:szCs w:val="28"/>
          <w:lang w:val="uk-UA"/>
        </w:rPr>
        <w:t>с</w:t>
      </w:r>
      <w:r>
        <w:rPr>
          <w:rFonts w:ascii="Times New Roman" w:hAnsi="Times New Roman"/>
          <w:b/>
          <w:bCs/>
          <w:iCs/>
          <w:color w:val="000000"/>
          <w:sz w:val="28"/>
          <w:szCs w:val="28"/>
        </w:rPr>
        <w:t xml:space="preserve">ексуальне домагання </w:t>
      </w:r>
      <w:r>
        <w:rPr>
          <w:rFonts w:ascii="Times New Roman" w:hAnsi="Times New Roman"/>
          <w:iCs/>
          <w:color w:val="000000"/>
          <w:sz w:val="28"/>
          <w:szCs w:val="28"/>
        </w:rPr>
        <w:t>включає таку небажану</w:t>
      </w:r>
      <w:r>
        <w:rPr>
          <w:rFonts w:ascii="Times New Roman" w:hAnsi="Times New Roman"/>
          <w:color w:val="000000"/>
          <w:sz w:val="28"/>
          <w:szCs w:val="28"/>
          <w:lang w:val="uk-UA"/>
        </w:rPr>
        <w:t xml:space="preserve"> </w:t>
      </w:r>
      <w:r>
        <w:rPr>
          <w:rFonts w:ascii="Times New Roman" w:hAnsi="Times New Roman"/>
          <w:iCs/>
          <w:color w:val="000000"/>
          <w:sz w:val="28"/>
          <w:szCs w:val="28"/>
        </w:rPr>
        <w:t>поведінку сексуального характеру, як фізичний контакт та пропозиції, натяки</w:t>
      </w:r>
      <w:r>
        <w:rPr>
          <w:rFonts w:ascii="Times New Roman" w:hAnsi="Times New Roman"/>
          <w:color w:val="000000"/>
          <w:sz w:val="28"/>
          <w:szCs w:val="28"/>
          <w:lang w:val="uk-UA"/>
        </w:rPr>
        <w:t xml:space="preserve"> </w:t>
      </w:r>
      <w:r>
        <w:rPr>
          <w:rFonts w:ascii="Times New Roman" w:hAnsi="Times New Roman"/>
          <w:iCs/>
          <w:color w:val="000000"/>
          <w:sz w:val="28"/>
          <w:szCs w:val="28"/>
        </w:rPr>
        <w:t>сексуального характеру, демонстрацію порнографії та сексуальні вимоги,</w:t>
      </w:r>
      <w:r>
        <w:rPr>
          <w:rFonts w:ascii="Times New Roman" w:hAnsi="Times New Roman"/>
          <w:color w:val="000000"/>
          <w:sz w:val="28"/>
          <w:szCs w:val="28"/>
          <w:lang w:val="uk-UA"/>
        </w:rPr>
        <w:t xml:space="preserve"> </w:t>
      </w:r>
      <w:r>
        <w:rPr>
          <w:rFonts w:ascii="Times New Roman" w:hAnsi="Times New Roman"/>
          <w:iCs/>
          <w:color w:val="000000"/>
          <w:sz w:val="28"/>
          <w:szCs w:val="28"/>
        </w:rPr>
        <w:t>вчинені словами або діями. Така поведінка може бути образливою й становити</w:t>
      </w:r>
      <w:r>
        <w:rPr>
          <w:rFonts w:ascii="Times New Roman" w:hAnsi="Times New Roman"/>
          <w:color w:val="000000"/>
          <w:sz w:val="28"/>
          <w:szCs w:val="28"/>
          <w:lang w:val="uk-UA"/>
        </w:rPr>
        <w:t xml:space="preserve"> </w:t>
      </w:r>
      <w:r>
        <w:rPr>
          <w:rFonts w:ascii="Times New Roman" w:hAnsi="Times New Roman"/>
          <w:iCs/>
          <w:color w:val="000000"/>
          <w:sz w:val="28"/>
          <w:szCs w:val="28"/>
        </w:rPr>
        <w:t>загрозу здоров’ю та безпеці; вона є дискримінаційною, коли жінка має вагомі</w:t>
      </w:r>
      <w:r>
        <w:rPr>
          <w:rFonts w:ascii="Times New Roman" w:hAnsi="Times New Roman"/>
          <w:color w:val="000000"/>
          <w:sz w:val="28"/>
          <w:szCs w:val="28"/>
          <w:lang w:val="uk-UA"/>
        </w:rPr>
        <w:t xml:space="preserve"> </w:t>
      </w:r>
      <w:r>
        <w:rPr>
          <w:rFonts w:ascii="Times New Roman" w:hAnsi="Times New Roman"/>
          <w:iCs/>
          <w:color w:val="000000"/>
          <w:sz w:val="28"/>
          <w:szCs w:val="28"/>
        </w:rPr>
        <w:t>підстави вважати, що її відмова може нашкодити її працевлаштуванню,</w:t>
      </w:r>
      <w:r>
        <w:rPr>
          <w:rFonts w:ascii="Times New Roman" w:hAnsi="Times New Roman"/>
          <w:color w:val="000000"/>
          <w:sz w:val="28"/>
          <w:szCs w:val="28"/>
          <w:lang w:val="uk-UA"/>
        </w:rPr>
        <w:t xml:space="preserve"> </w:t>
      </w:r>
      <w:r>
        <w:rPr>
          <w:rFonts w:ascii="Times New Roman" w:hAnsi="Times New Roman"/>
          <w:iCs/>
          <w:color w:val="000000"/>
          <w:sz w:val="28"/>
          <w:szCs w:val="28"/>
        </w:rPr>
        <w:t>найму, а також просуванню службовими сходами, або коли це створює</w:t>
      </w:r>
      <w:r>
        <w:rPr>
          <w:rFonts w:ascii="Times New Roman" w:hAnsi="Times New Roman"/>
          <w:iCs/>
          <w:color w:val="000000"/>
          <w:sz w:val="28"/>
          <w:szCs w:val="28"/>
          <w:lang w:val="uk-UA"/>
        </w:rPr>
        <w:t xml:space="preserve"> </w:t>
      </w:r>
      <w:r>
        <w:rPr>
          <w:rFonts w:ascii="Times New Roman" w:hAnsi="Times New Roman"/>
          <w:iCs/>
          <w:color w:val="000000"/>
          <w:sz w:val="28"/>
          <w:szCs w:val="28"/>
        </w:rPr>
        <w:t>вороже середовище на роботі»</w:t>
      </w:r>
      <w:r>
        <w:rPr>
          <w:rFonts w:ascii="Times New Roman" w:hAnsi="Times New Roman"/>
          <w:iCs/>
          <w:color w:val="000000"/>
          <w:sz w:val="28"/>
          <w:szCs w:val="28"/>
          <w:lang w:val="uk-UA"/>
        </w:rPr>
        <w:t xml:space="preserve"> </w:t>
      </w:r>
      <w:r>
        <w:rPr>
          <w:rFonts w:ascii="Times New Roman" w:hAnsi="Times New Roman"/>
          <w:iCs/>
          <w:color w:val="000000"/>
          <w:sz w:val="28"/>
          <w:szCs w:val="28"/>
        </w:rPr>
        <w:t>[</w:t>
      </w:r>
      <w:r>
        <w:rPr>
          <w:rFonts w:ascii="Times New Roman" w:hAnsi="Times New Roman"/>
          <w:iCs/>
          <w:color w:val="000000"/>
          <w:sz w:val="28"/>
          <w:szCs w:val="28"/>
          <w:lang w:val="uk-UA"/>
        </w:rPr>
        <w:t>6</w:t>
      </w:r>
      <w:r>
        <w:rPr>
          <w:rFonts w:ascii="Times New Roman" w:hAnsi="Times New Roman"/>
          <w:color w:val="000000"/>
          <w:sz w:val="28"/>
          <w:szCs w:val="28"/>
        </w:rPr>
        <w:t>]</w:t>
      </w:r>
      <w:r>
        <w:rPr>
          <w:rFonts w:ascii="Times New Roman" w:hAnsi="Times New Roman"/>
          <w:color w:val="000000"/>
          <w:sz w:val="28"/>
          <w:szCs w:val="28"/>
          <w:lang w:val="uk-UA"/>
        </w:rPr>
        <w:t>.</w:t>
      </w:r>
      <w:r>
        <w:rPr>
          <w:rFonts w:ascii="Times New Roman" w:hAnsi="Times New Roman"/>
          <w:i/>
          <w:sz w:val="28"/>
          <w:szCs w:val="28"/>
          <w:lang w:val="uk-UA"/>
        </w:rPr>
        <w:t xml:space="preserve"> </w:t>
      </w:r>
    </w:p>
    <w:p>
      <w:pPr>
        <w:pStyle w:val="Normal"/>
        <w:spacing w:lineRule="auto" w:line="360"/>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Загалом, сексуальні домагання можуть поширюватися і на чоловіків, і на жінок, хоча останні частіше стають жертвами такої поведінки. Не завжди і не обов’язково при сексуальних домаганнях жертва і кривдник є особами протилежної статі, проте завжди і обов’язково для інтерпретації поведінки кривдника як сексуальних домагань вона має бути небажаною для жертви. При цьому суб’єктами сексуальних домагань (кривдниками) можуть виступати роботодавці чи безпосередні керівники жертви, її колеги, а також особи, з якими жертва не пов’язана трудовими відносинами. </w:t>
      </w:r>
    </w:p>
    <w:p>
      <w:pPr>
        <w:pStyle w:val="Normal"/>
        <w:spacing w:lineRule="auto" w:line="360"/>
        <w:jc w:val="both"/>
        <w:rPr/>
      </w:pPr>
      <w:r>
        <w:rPr>
          <w:rFonts w:ascii="Times New Roman" w:hAnsi="Times New Roman"/>
          <w:color w:val="000000"/>
          <w:sz w:val="28"/>
          <w:szCs w:val="28"/>
          <w:lang w:val="uk-UA"/>
        </w:rPr>
        <w:tab/>
        <w:t xml:space="preserve">Американські дослідники виокремлюють два </w:t>
      </w:r>
      <w:r>
        <w:rPr>
          <w:rFonts w:ascii="Times New Roman" w:hAnsi="Times New Roman"/>
          <w:b/>
          <w:color w:val="000000"/>
          <w:sz w:val="28"/>
          <w:szCs w:val="28"/>
          <w:lang w:val="uk-UA"/>
        </w:rPr>
        <w:t xml:space="preserve">види сексуальних домагань </w:t>
      </w:r>
      <w:r>
        <w:rPr>
          <w:rFonts w:ascii="Times New Roman" w:hAnsi="Times New Roman"/>
          <w:color w:val="000000"/>
          <w:sz w:val="28"/>
          <w:szCs w:val="28"/>
        </w:rPr>
        <w:t>[5</w:t>
      </w:r>
      <w:r>
        <w:rPr>
          <w:rFonts w:ascii="Times New Roman" w:hAnsi="Times New Roman"/>
          <w:color w:val="000000"/>
          <w:sz w:val="28"/>
          <w:szCs w:val="28"/>
          <w:lang w:val="uk-UA"/>
        </w:rPr>
        <w:t xml:space="preserve">, </w:t>
      </w:r>
      <w:r>
        <w:rPr>
          <w:rFonts w:ascii="Times New Roman" w:hAnsi="Times New Roman"/>
          <w:color w:val="000000"/>
          <w:sz w:val="28"/>
          <w:szCs w:val="28"/>
          <w:lang w:val="ru-RU"/>
        </w:rPr>
        <w:t>с</w:t>
      </w:r>
      <w:r>
        <w:rPr>
          <w:rFonts w:ascii="Times New Roman" w:hAnsi="Times New Roman"/>
          <w:color w:val="000000"/>
          <w:sz w:val="28"/>
          <w:szCs w:val="28"/>
          <w:lang w:val="uk-UA"/>
        </w:rPr>
        <w:t>. 45-46</w:t>
      </w:r>
      <w:r>
        <w:rPr>
          <w:rFonts w:ascii="Times New Roman" w:hAnsi="Times New Roman"/>
          <w:color w:val="000000"/>
          <w:sz w:val="28"/>
          <w:szCs w:val="28"/>
        </w:rPr>
        <w:t>]</w:t>
      </w:r>
      <w:r>
        <w:rPr>
          <w:rFonts w:ascii="Times New Roman" w:hAnsi="Times New Roman"/>
          <w:color w:val="000000"/>
          <w:sz w:val="28"/>
          <w:szCs w:val="28"/>
          <w:lang w:val="uk-UA"/>
        </w:rPr>
        <w:t>:</w:t>
      </w:r>
    </w:p>
    <w:p>
      <w:pPr>
        <w:pStyle w:val="Normal"/>
        <w:spacing w:lineRule="auto" w:line="360"/>
        <w:ind w:firstLine="708"/>
        <w:jc w:val="both"/>
        <w:rPr/>
      </w:pPr>
      <w:r>
        <w:rPr>
          <w:rFonts w:ascii="Times New Roman" w:hAnsi="Times New Roman"/>
          <w:color w:val="000000"/>
          <w:sz w:val="28"/>
          <w:szCs w:val="28"/>
          <w:lang w:val="uk-UA"/>
        </w:rPr>
        <w:t>1) сексуальні домагання «послуга за послугу» (</w:t>
      </w:r>
      <w:r>
        <w:rPr>
          <w:rFonts w:ascii="Times New Roman" w:hAnsi="Times New Roman"/>
          <w:bCs/>
          <w:iCs/>
          <w:color w:val="000000"/>
          <w:sz w:val="28"/>
          <w:szCs w:val="28"/>
        </w:rPr>
        <w:t>quid-pro-quo</w:t>
      </w:r>
      <w:r>
        <w:rPr>
          <w:rFonts w:ascii="Times New Roman" w:hAnsi="Times New Roman"/>
          <w:color w:val="000000"/>
          <w:sz w:val="28"/>
          <w:szCs w:val="28"/>
          <w:lang w:val="uk-UA"/>
        </w:rPr>
        <w:t>). Цей вид домагань використовує матеріальну складову роботи як інструмент сексуального примусу жертви і включає в себе таку небажану поведінку кривдника, підкорення якій становить умову надання жертві роботи або надання певних благ чи винагороди за працю, кар’єрного зростання, підвищення заробітної плати тощо;</w:t>
      </w:r>
    </w:p>
    <w:p>
      <w:pPr>
        <w:pStyle w:val="Normal"/>
        <w:spacing w:lineRule="auto" w:line="360"/>
        <w:ind w:firstLine="708"/>
        <w:jc w:val="both"/>
        <w:rPr/>
      </w:pPr>
      <w:r>
        <w:rPr>
          <w:rFonts w:ascii="Times New Roman" w:hAnsi="Times New Roman"/>
          <w:color w:val="000000"/>
          <w:sz w:val="28"/>
          <w:szCs w:val="28"/>
          <w:lang w:val="uk-UA"/>
        </w:rPr>
        <w:t xml:space="preserve">2) сексуальні домагання у формі створення ворожого (образливого) робочого середовища. Цей вид домагань може мати сексуальний характер або бути позбавленим його. Останнє проявляється через поведінку, що ґрунтується на упередженні щодо певної статі, тобто тут домагання реалізується через створення такої атмосфери на роботі, яка відображає негативне ставлення до представників цієї статі, але без ознак сексуальності у поведінці кривдника. Найчастіше це виражається або через вербальну форму (розповсюдження негативних стереотипів про дану стать, вживання вульгарних слів і коментарів; використання відповідних епітетів, погроз, залякувань і навіть ворожих дій), або через друковані матеріали (письмові чи графічні), які розміщуються на видних місцях робочого середовища, і мають на меті демонстрацію антипатії до представників цієї статі (наприклад, плакати з відповідними зображеннями, написами чи гаслами). </w:t>
      </w:r>
    </w:p>
    <w:p>
      <w:pPr>
        <w:pStyle w:val="Normal"/>
        <w:spacing w:lineRule="auto" w:line="360"/>
        <w:ind w:firstLine="737"/>
        <w:jc w:val="both"/>
        <w:rPr>
          <w:rFonts w:ascii="Times New Roman" w:hAnsi="Times New Roman"/>
          <w:sz w:val="28"/>
          <w:szCs w:val="28"/>
        </w:rPr>
      </w:pPr>
      <w:r>
        <w:rPr>
          <w:rFonts w:ascii="Times New Roman" w:hAnsi="Times New Roman"/>
          <w:color w:val="000000"/>
          <w:sz w:val="28"/>
          <w:szCs w:val="28"/>
          <w:lang w:val="uk-UA"/>
        </w:rPr>
        <w:t>Таким чином, сексуальні домагання на робочому місці можуть набувати різних форм, здійснюватися через вербальний і невербальний канали, фізичні дії тощо. При цьому будь-які поведінкові прояви суб’єкта домагань є небажаними для жертви і завдають її здоров’ю фізичну й психологічну шкоду.</w:t>
      </w:r>
    </w:p>
    <w:p>
      <w:pPr>
        <w:pStyle w:val="Normal"/>
        <w:spacing w:lineRule="auto" w:line="360"/>
        <w:ind w:firstLine="737"/>
        <w:jc w:val="both"/>
        <w:rPr/>
      </w:pPr>
      <w:r>
        <w:rPr>
          <w:rFonts w:ascii="Times New Roman" w:hAnsi="Times New Roman"/>
          <w:color w:val="000000"/>
          <w:sz w:val="28"/>
          <w:szCs w:val="28"/>
          <w:lang w:val="uk-UA"/>
        </w:rPr>
        <w:t xml:space="preserve">Насильство як форма прояву дискримінації за ознакою статі є найбільш ширшим з усіх аналізованих понять. Зарубіжні нормативно-правові документи визначають </w:t>
      </w:r>
      <w:r>
        <w:rPr>
          <w:rFonts w:ascii="Times New Roman" w:hAnsi="Times New Roman"/>
          <w:b/>
          <w:color w:val="000000"/>
          <w:sz w:val="28"/>
          <w:szCs w:val="28"/>
          <w:lang w:val="uk-UA"/>
        </w:rPr>
        <w:t>насильство на робочому місці</w:t>
      </w:r>
      <w:r>
        <w:rPr>
          <w:rFonts w:ascii="Times New Roman" w:hAnsi="Times New Roman"/>
          <w:color w:val="000000"/>
          <w:sz w:val="28"/>
          <w:szCs w:val="28"/>
          <w:lang w:val="uk-UA"/>
        </w:rPr>
        <w:t xml:space="preserve"> як будь-які ситуації, в яких працівника ображали, погрожували чи нападали на нього під час виконання ним своїх професійних обов’язків. При цьому насильник міг використовувати силу, брутальні слова, погрожувати зброєю або без неї, застосовувати систематичне сексуальне і расове переслідування. В українських документах такого формату насильство тлумачиться як будь-які умисні дії фізичного, сексуального, психологічного чи економічного спрямування однієї особи щодо іншої, якщо ці дії порушують конституційні права і свободи людини і громадянина і завдають йому моральної шкоди, шкоди його фізичному чи психічному здоров’ю [7, </w:t>
      </w:r>
      <w:r>
        <w:rPr>
          <w:rFonts w:ascii="Times New Roman" w:hAnsi="Times New Roman"/>
          <w:color w:val="000000"/>
          <w:sz w:val="28"/>
          <w:szCs w:val="28"/>
          <w:lang w:val="ru-RU"/>
        </w:rPr>
        <w:t>с</w:t>
      </w:r>
      <w:r>
        <w:rPr>
          <w:rFonts w:ascii="Times New Roman" w:hAnsi="Times New Roman"/>
          <w:color w:val="000000"/>
          <w:sz w:val="28"/>
          <w:szCs w:val="28"/>
          <w:lang w:val="uk-UA"/>
        </w:rPr>
        <w:t xml:space="preserve">. 77]. </w:t>
      </w:r>
    </w:p>
    <w:p>
      <w:pPr>
        <w:pStyle w:val="Normal"/>
        <w:spacing w:lineRule="auto" w:line="360"/>
        <w:jc w:val="both"/>
        <w:rPr/>
      </w:pPr>
      <w:r>
        <w:rPr>
          <w:rFonts w:ascii="Times New Roman" w:hAnsi="Times New Roman"/>
          <w:color w:val="000000"/>
          <w:sz w:val="28"/>
          <w:szCs w:val="28"/>
          <w:lang w:val="uk-UA"/>
        </w:rPr>
        <w:tab/>
        <w:t xml:space="preserve">Гендерне насильство у будь-якій сфері, включаючи професійну, є порушенням прав людини, яке в одних випадках може трактуватись як адміністративне правопорушення, а в інших - як кримінальний злочин. </w:t>
      </w:r>
      <w:bookmarkStart w:id="0" w:name="__DdeLink__14086_2876922454"/>
      <w:r>
        <w:rPr>
          <w:rFonts w:ascii="Times New Roman" w:hAnsi="Times New Roman"/>
          <w:color w:val="000000"/>
          <w:sz w:val="28"/>
          <w:szCs w:val="28"/>
          <w:lang w:val="uk-UA"/>
        </w:rPr>
        <w:t>Воно уможливлюється внаслідок поєднання загальносоціальних аспектів</w:t>
      </w:r>
      <w:bookmarkEnd w:id="0"/>
      <w:r>
        <w:rPr>
          <w:rFonts w:ascii="Times New Roman" w:hAnsi="Times New Roman"/>
          <w:color w:val="000000"/>
          <w:sz w:val="28"/>
          <w:szCs w:val="28"/>
          <w:lang w:val="uk-UA"/>
        </w:rPr>
        <w:t xml:space="preserve"> (наприклад, поширеність гендерної нерівності в суспільстві, його безкарність) з психологічними характеристиками кривдника (підвищена агресивність, егоїстичність, зверхність, упередженість, схильність до тотального контролю, влади і домінування) і його жертви (невпевненість в собі, сором’язливість, гіпервідповідальність, занижена самооцінка, нерішучість). </w:t>
      </w:r>
    </w:p>
    <w:p>
      <w:pPr>
        <w:pStyle w:val="Normal"/>
        <w:spacing w:lineRule="auto" w:line="360"/>
        <w:jc w:val="both"/>
        <w:rPr/>
      </w:pPr>
      <w:r>
        <w:rPr>
          <w:rFonts w:ascii="Times New Roman" w:hAnsi="Times New Roman"/>
          <w:color w:val="000000"/>
          <w:sz w:val="28"/>
          <w:szCs w:val="28"/>
          <w:lang w:val="uk-UA"/>
        </w:rPr>
        <w:tab/>
        <w:t>В організаціях насильство буває двох типів: насильство «зсередини» (внутрішнє) і насильство «ззовні» (зовнішнє). Внутрішнє насильство проявляється безпосередньо в трудовому колективі і може бути вертикальним (керівник-підлеглий) та горизонтальним (підлеглий-підлеглий). Зовнішнє насильство проявляється з боку  сторонніх осіб, котрі не мають жодного відношення до даного трудового колективу, але є споживачами, клієнтами, покупцями або ж конкурентами.</w:t>
      </w:r>
    </w:p>
    <w:p>
      <w:pPr>
        <w:pStyle w:val="Normal"/>
        <w:spacing w:lineRule="auto" w:line="360"/>
        <w:jc w:val="both"/>
        <w:rPr/>
      </w:pPr>
      <w:r>
        <w:rPr>
          <w:rFonts w:ascii="Times New Roman" w:hAnsi="Times New Roman"/>
          <w:color w:val="000000"/>
          <w:sz w:val="28"/>
          <w:szCs w:val="28"/>
          <w:lang w:val="uk-UA"/>
        </w:rPr>
        <w:tab/>
        <w:t xml:space="preserve">І внутрішнє, і зовнішнє насильство буває 4-х </w:t>
      </w:r>
      <w:r>
        <w:rPr>
          <w:rFonts w:ascii="Times New Roman" w:hAnsi="Times New Roman"/>
          <w:b/>
          <w:color w:val="000000"/>
          <w:sz w:val="28"/>
          <w:szCs w:val="28"/>
          <w:lang w:val="uk-UA"/>
        </w:rPr>
        <w:t>видів</w:t>
      </w:r>
      <w:r>
        <w:rPr>
          <w:rFonts w:ascii="Times New Roman" w:hAnsi="Times New Roman"/>
          <w:color w:val="000000"/>
          <w:sz w:val="28"/>
          <w:szCs w:val="28"/>
          <w:lang w:val="uk-UA"/>
        </w:rPr>
        <w:t xml:space="preserve">: </w:t>
      </w:r>
    </w:p>
    <w:p>
      <w:pPr>
        <w:pStyle w:val="Normal"/>
        <w:spacing w:lineRule="auto" w:line="360"/>
        <w:ind w:firstLine="708"/>
        <w:jc w:val="both"/>
        <w:rPr/>
      </w:pPr>
      <w:r>
        <w:rPr>
          <w:rFonts w:ascii="Times New Roman" w:hAnsi="Times New Roman"/>
          <w:color w:val="000000"/>
          <w:sz w:val="28"/>
          <w:szCs w:val="28"/>
          <w:lang w:val="uk-UA"/>
        </w:rPr>
        <w:t>1) фізичне: штовхання, ляпаси, примушування до вживання алкоголю чи інших речовин, які можуть зашкодити здоров’ю, примушування до виконання небезпечної для здоров’я роботи, насильницьке утримання в приміщенні, тілесні ушкодження різного ступеня тяжкості, вбивство і т.д.;</w:t>
      </w:r>
    </w:p>
    <w:p>
      <w:pPr>
        <w:pStyle w:val="Normal"/>
        <w:spacing w:lineRule="auto" w:line="360"/>
        <w:ind w:firstLine="708"/>
        <w:jc w:val="both"/>
        <w:rPr/>
      </w:pPr>
      <w:r>
        <w:rPr>
          <w:rFonts w:ascii="Times New Roman" w:hAnsi="Times New Roman"/>
          <w:color w:val="000000"/>
          <w:sz w:val="28"/>
          <w:szCs w:val="28"/>
          <w:lang w:val="uk-UA"/>
        </w:rPr>
        <w:t>2) психологічне: образи, приниження, нецензурна лайка, крики, психологічний напад у формах деструктивної критики, деструктивних констатацій (наприклад, «жартівливе» пригадування людині її минулих помилок) та деструктивних порад (непрошених або свідомо неправильних), дрес-код, залякування, шантаж, ігнорування, пліткарство, психологічний пресинг (надмірний і постійний контроль) і т.д.;</w:t>
      </w:r>
    </w:p>
    <w:p>
      <w:pPr>
        <w:pStyle w:val="Normal"/>
        <w:spacing w:lineRule="auto" w:line="360"/>
        <w:ind w:firstLine="708"/>
        <w:jc w:val="both"/>
        <w:rPr/>
      </w:pPr>
      <w:r>
        <w:rPr>
          <w:rFonts w:ascii="Times New Roman" w:hAnsi="Times New Roman"/>
          <w:color w:val="000000"/>
          <w:sz w:val="28"/>
          <w:szCs w:val="28"/>
          <w:lang w:val="uk-UA"/>
        </w:rPr>
        <w:t>3) сексуальне: має ті ж форми, що й сексуальні домагання, про які йшлося вище;</w:t>
      </w:r>
    </w:p>
    <w:p>
      <w:pPr>
        <w:pStyle w:val="Normal"/>
        <w:spacing w:lineRule="auto" w:line="360"/>
        <w:ind w:firstLine="708"/>
        <w:jc w:val="both"/>
        <w:rPr/>
      </w:pPr>
      <w:r>
        <w:rPr>
          <w:rFonts w:ascii="Times New Roman" w:hAnsi="Times New Roman"/>
          <w:color w:val="000000"/>
          <w:sz w:val="28"/>
          <w:szCs w:val="28"/>
          <w:lang w:val="uk-UA"/>
        </w:rPr>
        <w:t>4) економічне: безпідставне зниження заробітної плати, позбавлення заслужених премій, компенсацій, крадіжки, економічне рабство, розпоряджаннями коштами без згоди їх власника і т.д.</w:t>
      </w:r>
    </w:p>
    <w:p>
      <w:pPr>
        <w:pStyle w:val="Normal"/>
        <w:spacing w:lineRule="auto" w:line="360"/>
        <w:jc w:val="both"/>
        <w:rPr/>
      </w:pPr>
      <w:r>
        <w:rPr>
          <w:rFonts w:ascii="Times New Roman" w:hAnsi="Times New Roman"/>
          <w:color w:val="000000"/>
          <w:sz w:val="28"/>
          <w:szCs w:val="28"/>
          <w:lang w:val="uk-UA"/>
        </w:rPr>
        <w:tab/>
        <w:t xml:space="preserve">Фізичне, сексуальне та економічне насильство, на відміну від психологічного, має багато зовнішніх проявів, на підставі яких кривдники можуть бути притягнуті до відповідальності. Психологічне насильство більш «приховане» від юридичної відповідальності, хоч не менш жахливе за наслідками, як попередні його види. </w:t>
      </w:r>
    </w:p>
    <w:p>
      <w:pPr>
        <w:pStyle w:val="Normal"/>
        <w:spacing w:lineRule="auto" w:line="36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 сучасному світі значного поширення набувають такі види психологічного насильства, як мобінг і булінг. </w:t>
      </w:r>
    </w:p>
    <w:p>
      <w:pPr>
        <w:pStyle w:val="Normal"/>
        <w:spacing w:lineRule="auto" w:line="360"/>
        <w:ind w:firstLine="709"/>
        <w:jc w:val="both"/>
        <w:rPr/>
      </w:pPr>
      <w:r>
        <w:rPr>
          <w:rFonts w:ascii="Times New Roman" w:hAnsi="Times New Roman"/>
          <w:color w:val="000000"/>
          <w:sz w:val="28"/>
          <w:szCs w:val="28"/>
          <w:shd w:fill="FFFFFF" w:val="clear"/>
          <w:lang w:val="uk-UA"/>
        </w:rPr>
        <w:t>Термін «мобінг» виник, як зазначається у Вікіпедії, на початку 80-х років ХХ стол. завдяки дослідженням психолога і вченого-медика, доктора Ханца Леймана, який вивчав це явище на робочих місцях у Швеції. Мобінг – це колективний психологічний терор, спрямований проти певного працівника з боку його колег, підлеглих або керівництва, що переслідує мету примусити його звільнитися з роботи. Булінг – це також різновид психологічного терору, переслідування й цькування, але здійснюваний не колективно, а індивідуально або невеликою групою людей.</w:t>
      </w:r>
    </w:p>
    <w:p>
      <w:pPr>
        <w:pStyle w:val="Normal"/>
        <w:spacing w:lineRule="auto" w:line="360"/>
        <w:ind w:firstLine="709"/>
        <w:jc w:val="both"/>
        <w:rPr/>
      </w:pPr>
      <w:r>
        <w:rPr>
          <w:rFonts w:ascii="Times New Roman" w:hAnsi="Times New Roman"/>
          <w:color w:val="000000"/>
          <w:sz w:val="28"/>
          <w:szCs w:val="28"/>
          <w:shd w:fill="FFFFFF" w:val="clear"/>
          <w:lang w:val="uk-UA"/>
        </w:rPr>
        <w:t xml:space="preserve">Залежно від природи виникнення </w:t>
      </w:r>
      <w:r>
        <w:rPr>
          <w:rFonts w:ascii="Times New Roman" w:hAnsi="Times New Roman"/>
          <w:b/>
          <w:color w:val="000000"/>
          <w:sz w:val="28"/>
          <w:szCs w:val="28"/>
          <w:shd w:fill="FFFFFF" w:val="clear"/>
          <w:lang w:val="uk-UA"/>
        </w:rPr>
        <w:t>мобінг поділяється</w:t>
      </w:r>
      <w:r>
        <w:rPr>
          <w:rFonts w:ascii="Times New Roman" w:hAnsi="Times New Roman"/>
          <w:color w:val="000000"/>
          <w:sz w:val="28"/>
          <w:szCs w:val="28"/>
          <w:shd w:fill="FFFFFF" w:val="clear"/>
          <w:lang w:val="uk-UA"/>
        </w:rPr>
        <w:t xml:space="preserve"> на  усвідомлений і неусвідомлений, спонтанний і керований, а за типом психологічного впливу він може бути прихованим і відкритим. При цьому, найбільш жорсткою формою психологічного насильства в колективі вважається саме кероване переслідування, оскільки воно доволі часто виступає адміністративною формою вирішення конфліктів чи подолання криз у ньому [8].</w:t>
      </w:r>
      <w:r>
        <w:rPr>
          <w:rFonts w:ascii="Times New Roman" w:hAnsi="Times New Roman"/>
          <w:i/>
          <w:color w:val="000000"/>
          <w:sz w:val="28"/>
          <w:szCs w:val="28"/>
          <w:shd w:fill="FFFFFF" w:val="clear"/>
          <w:lang w:val="uk-UA"/>
        </w:rPr>
        <w:t xml:space="preserve"> </w:t>
      </w:r>
    </w:p>
    <w:p>
      <w:pPr>
        <w:pStyle w:val="Normal"/>
        <w:spacing w:lineRule="auto" w:line="360"/>
        <w:ind w:firstLine="709"/>
        <w:jc w:val="both"/>
        <w:rPr/>
      </w:pPr>
      <w:r>
        <w:rPr>
          <w:rFonts w:ascii="Times New Roman" w:hAnsi="Times New Roman"/>
          <w:color w:val="000000"/>
          <w:sz w:val="28"/>
          <w:szCs w:val="28"/>
          <w:highlight w:val="white"/>
          <w:lang w:val="uk-UA"/>
        </w:rPr>
        <w:t>До методів,</w:t>
      </w:r>
      <w:r>
        <w:rPr>
          <w:rFonts w:ascii="Times New Roman" w:hAnsi="Times New Roman"/>
          <w:color w:val="000000"/>
          <w:sz w:val="28"/>
          <w:szCs w:val="28"/>
          <w:lang w:val="uk-UA"/>
        </w:rPr>
        <w:t xml:space="preserve"> </w:t>
      </w:r>
      <w:r>
        <w:rPr>
          <w:rFonts w:ascii="Times New Roman" w:hAnsi="Times New Roman"/>
          <w:sz w:val="28"/>
          <w:szCs w:val="28"/>
        </w:rPr>
        <w:t xml:space="preserve">які використовують переслідувачі, </w:t>
      </w:r>
      <w:r>
        <w:rPr>
          <w:rFonts w:ascii="Times New Roman" w:hAnsi="Times New Roman"/>
          <w:sz w:val="28"/>
          <w:szCs w:val="28"/>
          <w:lang w:val="uk-UA"/>
        </w:rPr>
        <w:t xml:space="preserve">відносять </w:t>
      </w:r>
      <w:r>
        <w:rPr>
          <w:rFonts w:ascii="Times New Roman" w:hAnsi="Times New Roman"/>
          <w:sz w:val="28"/>
          <w:szCs w:val="28"/>
        </w:rPr>
        <w:t>[</w:t>
      </w:r>
      <w:r>
        <w:rPr>
          <w:rFonts w:ascii="Times New Roman" w:hAnsi="Times New Roman"/>
          <w:color w:val="000000"/>
          <w:sz w:val="28"/>
          <w:szCs w:val="28"/>
          <w:lang w:val="uk-UA"/>
        </w:rPr>
        <w:t>9</w:t>
      </w:r>
      <w:r>
        <w:rPr>
          <w:rFonts w:ascii="Times New Roman" w:hAnsi="Times New Roman"/>
          <w:sz w:val="28"/>
          <w:szCs w:val="28"/>
        </w:rPr>
        <w:t>]</w:t>
      </w:r>
      <w:r>
        <w:rPr>
          <w:rFonts w:ascii="Times New Roman" w:hAnsi="Times New Roman"/>
          <w:sz w:val="28"/>
          <w:szCs w:val="28"/>
          <w:lang w:val="uk-UA"/>
        </w:rPr>
        <w:t xml:space="preserve">: </w:t>
      </w:r>
    </w:p>
    <w:p>
      <w:pPr>
        <w:pStyle w:val="Style21"/>
        <w:spacing w:lineRule="auto" w:line="360" w:before="0" w:after="0"/>
        <w:ind w:firstLine="709"/>
        <w:jc w:val="both"/>
        <w:rPr/>
      </w:pPr>
      <w:r>
        <w:rPr>
          <w:rStyle w:val="Style14"/>
          <w:rFonts w:ascii="Times New Roman" w:hAnsi="Times New Roman"/>
          <w:color w:val="000000"/>
          <w:sz w:val="28"/>
          <w:szCs w:val="28"/>
          <w:lang w:val="uk-UA"/>
        </w:rPr>
        <w:t xml:space="preserve">- </w:t>
      </w:r>
      <w:r>
        <w:rPr>
          <w:rStyle w:val="Style14"/>
          <w:rFonts w:ascii="Times New Roman" w:hAnsi="Times New Roman"/>
          <w:b w:val="false"/>
          <w:color w:val="000000"/>
          <w:sz w:val="28"/>
          <w:szCs w:val="28"/>
          <w:lang w:val="uk-UA"/>
        </w:rPr>
        <w:t>і</w:t>
      </w:r>
      <w:r>
        <w:rPr>
          <w:rStyle w:val="Style14"/>
          <w:rFonts w:ascii="Times New Roman" w:hAnsi="Times New Roman"/>
          <w:b w:val="false"/>
          <w:color w:val="000000"/>
          <w:sz w:val="28"/>
          <w:szCs w:val="28"/>
        </w:rPr>
        <w:t>золяцію від неформальних особистих контактів</w:t>
      </w:r>
      <w:r>
        <w:rPr>
          <w:rStyle w:val="Style14"/>
          <w:rFonts w:ascii="Times New Roman" w:hAnsi="Times New Roman"/>
          <w:b w:val="false"/>
          <w:color w:val="000000"/>
          <w:sz w:val="28"/>
          <w:szCs w:val="28"/>
          <w:lang w:val="uk-UA"/>
        </w:rPr>
        <w:t xml:space="preserve"> (жертву ігнорують, не вітаються й не розмовляють з нею, не запрошують на корпоративи чи інші святкування і т.д.);</w:t>
      </w:r>
    </w:p>
    <w:p>
      <w:pPr>
        <w:pStyle w:val="Style21"/>
        <w:spacing w:lineRule="auto" w:line="360" w:before="0" w:after="0"/>
        <w:ind w:firstLine="709"/>
        <w:jc w:val="both"/>
        <w:rPr/>
      </w:pPr>
      <w:r>
        <w:rPr>
          <w:rStyle w:val="Style14"/>
          <w:rFonts w:ascii="Times New Roman" w:hAnsi="Times New Roman"/>
          <w:color w:val="000000"/>
          <w:sz w:val="28"/>
          <w:szCs w:val="28"/>
          <w:lang w:val="uk-UA"/>
        </w:rPr>
        <w:t xml:space="preserve">- </w:t>
      </w:r>
      <w:r>
        <w:rPr>
          <w:rStyle w:val="Style14"/>
          <w:rFonts w:ascii="Times New Roman" w:hAnsi="Times New Roman"/>
          <w:b w:val="false"/>
          <w:color w:val="000000"/>
          <w:sz w:val="28"/>
          <w:szCs w:val="28"/>
          <w:lang w:val="uk-UA"/>
        </w:rPr>
        <w:t>перекриття каналів службової інформації (жертву вводять в інформаційну блокаду, навмисно приховуючи або «забуваючи» надати їй службову інформацію);</w:t>
      </w:r>
    </w:p>
    <w:p>
      <w:pPr>
        <w:pStyle w:val="Style21"/>
        <w:spacing w:lineRule="auto" w:line="360" w:before="0" w:after="0"/>
        <w:ind w:firstLine="709"/>
        <w:jc w:val="both"/>
        <w:rPr/>
      </w:pPr>
      <w:r>
        <w:rPr>
          <w:rStyle w:val="Style14"/>
          <w:rFonts w:ascii="Times New Roman" w:hAnsi="Times New Roman"/>
          <w:color w:val="000000"/>
          <w:sz w:val="28"/>
          <w:szCs w:val="28"/>
          <w:lang w:val="uk-UA"/>
        </w:rPr>
        <w:t xml:space="preserve">- </w:t>
      </w:r>
      <w:r>
        <w:rPr>
          <w:rStyle w:val="Style14"/>
          <w:rFonts w:ascii="Times New Roman" w:hAnsi="Times New Roman"/>
          <w:b w:val="false"/>
          <w:color w:val="000000"/>
          <w:sz w:val="28"/>
          <w:szCs w:val="28"/>
          <w:lang w:val="uk-UA"/>
        </w:rPr>
        <w:t>ігнорування успіхів (переслідувачі нехтують будь-якими досягненнями жертви, зневажають її внесок у спільну справу, позбавляють винагороди й можливості кар’єрного зростання);</w:t>
      </w:r>
    </w:p>
    <w:p>
      <w:pPr>
        <w:pStyle w:val="Style21"/>
        <w:spacing w:lineRule="auto" w:line="360" w:before="0" w:after="0"/>
        <w:ind w:firstLine="709"/>
        <w:jc w:val="both"/>
        <w:rPr/>
      </w:pPr>
      <w:r>
        <w:rPr>
          <w:rStyle w:val="Style14"/>
          <w:rFonts w:ascii="Times New Roman" w:hAnsi="Times New Roman"/>
          <w:color w:val="000000"/>
          <w:sz w:val="28"/>
          <w:szCs w:val="28"/>
          <w:lang w:val="uk-UA"/>
        </w:rPr>
        <w:t xml:space="preserve">- </w:t>
      </w:r>
      <w:r>
        <w:rPr>
          <w:rStyle w:val="Style14"/>
          <w:rFonts w:ascii="Times New Roman" w:hAnsi="Times New Roman"/>
          <w:b w:val="false"/>
          <w:color w:val="000000"/>
          <w:sz w:val="28"/>
          <w:szCs w:val="28"/>
          <w:lang w:val="uk-UA"/>
        </w:rPr>
        <w:t>с</w:t>
      </w:r>
      <w:r>
        <w:rPr>
          <w:rStyle w:val="Style14"/>
          <w:rFonts w:ascii="Times New Roman" w:hAnsi="Times New Roman"/>
          <w:b w:val="false"/>
          <w:color w:val="000000"/>
          <w:sz w:val="28"/>
          <w:szCs w:val="28"/>
        </w:rPr>
        <w:t>проби зіпсувати</w:t>
      </w:r>
      <w:r>
        <w:rPr>
          <w:rStyle w:val="Style14"/>
          <w:rFonts w:ascii="Times New Roman" w:hAnsi="Times New Roman"/>
          <w:b w:val="false"/>
          <w:color w:val="000000"/>
          <w:sz w:val="28"/>
          <w:szCs w:val="28"/>
          <w:lang w:val="uk-UA"/>
        </w:rPr>
        <w:t xml:space="preserve"> особисту й професійну</w:t>
      </w:r>
      <w:r>
        <w:rPr>
          <w:rStyle w:val="Style14"/>
          <w:rFonts w:ascii="Times New Roman" w:hAnsi="Times New Roman"/>
          <w:b w:val="false"/>
          <w:color w:val="000000"/>
          <w:sz w:val="28"/>
          <w:szCs w:val="28"/>
        </w:rPr>
        <w:t xml:space="preserve"> репутацію</w:t>
      </w:r>
      <w:r>
        <w:rPr>
          <w:rStyle w:val="Appleconvertedspace"/>
          <w:rFonts w:ascii="Times New Roman" w:hAnsi="Times New Roman"/>
          <w:b w:val="false"/>
          <w:color w:val="000000"/>
          <w:sz w:val="28"/>
          <w:szCs w:val="28"/>
        </w:rPr>
        <w:t xml:space="preserve"> </w:t>
      </w:r>
      <w:r>
        <w:rPr>
          <w:rFonts w:ascii="Times New Roman" w:hAnsi="Times New Roman"/>
          <w:color w:val="000000"/>
          <w:sz w:val="28"/>
          <w:szCs w:val="28"/>
          <w:lang w:val="uk-UA"/>
        </w:rPr>
        <w:t>(про жертву пліткують, поширюють чутки, «підставляють» у виконанні професійних обов’язків) тощо.</w:t>
      </w:r>
    </w:p>
    <w:p>
      <w:pPr>
        <w:pStyle w:val="Style21"/>
        <w:spacing w:lineRule="auto" w:line="360" w:before="0" w:after="0"/>
        <w:ind w:firstLine="709"/>
        <w:jc w:val="both"/>
        <w:rPr/>
      </w:pPr>
      <w:r>
        <w:rPr>
          <w:rFonts w:ascii="Times New Roman" w:hAnsi="Times New Roman"/>
          <w:color w:val="000000"/>
          <w:sz w:val="28"/>
          <w:szCs w:val="28"/>
          <w:lang w:val="uk-UA"/>
        </w:rPr>
        <w:t xml:space="preserve">Будь-який вид насильства, гендерних і сексуальних домагань, а також сексизм призводять до цілого комплексу </w:t>
      </w:r>
      <w:r>
        <w:rPr>
          <w:rFonts w:ascii="Times New Roman" w:hAnsi="Times New Roman"/>
          <w:b/>
          <w:color w:val="000000"/>
          <w:sz w:val="28"/>
          <w:szCs w:val="28"/>
          <w:lang w:val="uk-UA"/>
        </w:rPr>
        <w:t>негативних наслідків</w:t>
      </w:r>
      <w:r>
        <w:rPr>
          <w:rFonts w:ascii="Times New Roman" w:hAnsi="Times New Roman"/>
          <w:color w:val="000000"/>
          <w:sz w:val="28"/>
          <w:szCs w:val="28"/>
          <w:lang w:val="uk-UA"/>
        </w:rPr>
        <w:t xml:space="preserve"> індивідуального, групового (знижується продуктивність праці в організації, страждає її репутація і т.д.) і навіть загальнодержавного (знецінюються верховенство закону і демократичні засади суспільства і т.д.) масштабів. На індивідуальному ж рівні жертва цих процесів зазнає шкоди фізичному (порушення сну, дисфункція травлення, затяжна втома, ослаблення імунітету, гіпертонічні захворювання і т.д.) і психологічному (втрата сенсу життя, зниження мотивації і самооцінки, депресія, апатія, астенія і т.д.) здоров’ю. </w:t>
      </w:r>
      <w:r>
        <w:rPr>
          <w:rFonts w:ascii="Times New Roman" w:hAnsi="Times New Roman"/>
          <w:color w:val="000000"/>
          <w:sz w:val="28"/>
          <w:szCs w:val="28"/>
          <w:lang w:val="uk-UA"/>
        </w:rPr>
        <w:t>Подолання цих негативних наслідків потребує психологічної допомоги, іноді досить довготривалої. Тому організаційні психологи повинні володіти широким спектром технологій консультативної та корекційної діяльності, а також вміти професійно реалізовувати профілактичний напрям своєї роботи.</w:t>
      </w:r>
    </w:p>
    <w:p>
      <w:pPr>
        <w:pStyle w:val="Normal"/>
        <w:spacing w:lineRule="auto" w:line="360"/>
        <w:jc w:val="both"/>
        <w:rPr/>
      </w:pPr>
      <w:r>
        <w:rPr>
          <w:rFonts w:ascii="Times New Roman" w:hAnsi="Times New Roman"/>
          <w:color w:val="000000"/>
          <w:sz w:val="28"/>
          <w:szCs w:val="28"/>
          <w:lang w:val="uk-UA"/>
        </w:rPr>
        <w:tab/>
        <w:t xml:space="preserve">Таким чином, виокремлені гендерно-психологічні проблеми виступають показниками рівня гендерної нерівності як в суспільстві в цілому, так і в окремих його інституціях. Їх наявність у трудовому колективі свідчить про неефективність кадрової, організаційної та правової політики організації, помилкові стратегії управління персоналом тощо. </w:t>
      </w:r>
    </w:p>
    <w:p>
      <w:pPr>
        <w:pStyle w:val="Normal"/>
        <w:spacing w:lineRule="auto" w:line="360"/>
        <w:jc w:val="both"/>
        <w:rPr/>
      </w:pPr>
      <w:r>
        <w:rPr>
          <w:rFonts w:ascii="Times New Roman" w:hAnsi="Times New Roman"/>
          <w:color w:val="000000"/>
          <w:sz w:val="28"/>
          <w:szCs w:val="28"/>
          <w:lang w:val="uk-UA"/>
        </w:rPr>
        <w:tab/>
        <w:t>Перспективою подальших наукових досліджень заявленої у статті проблеми вважаємо розробку науково-практичних рекомендацій щодо подолання негативних наслідків гендерно-психологічних проблем в організаціях та недопущення їх прояву надалі.</w:t>
      </w:r>
    </w:p>
    <w:p>
      <w:pPr>
        <w:pStyle w:val="Normal"/>
        <w:spacing w:lineRule="auto" w:line="360"/>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ListParagraph"/>
        <w:tabs>
          <w:tab w:val="left" w:pos="993" w:leader="none"/>
        </w:tabs>
        <w:spacing w:lineRule="auto" w:line="360" w:before="0" w:after="0"/>
        <w:ind w:left="0" w:firstLine="709"/>
        <w:contextualSpacing/>
        <w:jc w:val="both"/>
        <w:rPr/>
      </w:pPr>
      <w:r>
        <w:rPr>
          <w:rFonts w:cs="Arial" w:ascii="Times New Roman" w:hAnsi="Times New Roman"/>
          <w:b w:val="false"/>
          <w:bCs w:val="false"/>
          <w:color w:val="000000"/>
          <w:sz w:val="28"/>
          <w:szCs w:val="28"/>
          <w:lang w:val="uk-UA"/>
        </w:rPr>
        <w:t>1. Гендерная психология / ред. И. С. Клецина. 2-е изд. СПб.: Питер, 2009. 496 с.</w:t>
      </w:r>
    </w:p>
    <w:p>
      <w:pPr>
        <w:pStyle w:val="ListParagraph"/>
        <w:tabs>
          <w:tab w:val="left" w:pos="993" w:leader="none"/>
        </w:tabs>
        <w:spacing w:lineRule="auto" w:line="360" w:before="0" w:after="0"/>
        <w:ind w:left="0" w:firstLine="709"/>
        <w:contextualSpacing/>
        <w:jc w:val="both"/>
        <w:rPr/>
      </w:pPr>
      <w:r>
        <w:rPr>
          <w:rFonts w:cs="Arial" w:ascii="Times New Roman" w:hAnsi="Times New Roman"/>
          <w:color w:val="000000"/>
          <w:sz w:val="28"/>
          <w:szCs w:val="28"/>
          <w:lang w:val="uk-UA"/>
        </w:rPr>
        <w:t>2. Ткалич М.Г. Гендерна психологія: навч. посіб. 2-ге вид., випр., доповн. К.: Академвидав, 2016. 256 с.</w:t>
      </w:r>
    </w:p>
    <w:p>
      <w:pPr>
        <w:pStyle w:val="ListParagraph"/>
        <w:tabs>
          <w:tab w:val="left" w:pos="993" w:leader="none"/>
        </w:tabs>
        <w:spacing w:lineRule="auto" w:line="360" w:before="0" w:after="0"/>
        <w:ind w:left="0" w:firstLine="709"/>
        <w:contextualSpacing/>
        <w:jc w:val="both"/>
        <w:rPr/>
      </w:pPr>
      <w:r>
        <w:rPr>
          <w:rFonts w:cs="Arial" w:ascii="Times New Roman" w:hAnsi="Times New Roman"/>
          <w:color w:val="000000"/>
          <w:sz w:val="28"/>
          <w:szCs w:val="28"/>
          <w:lang w:val="uk-UA"/>
        </w:rPr>
        <w:t xml:space="preserve">3. </w:t>
      </w:r>
      <w:r>
        <w:rPr>
          <w:rFonts w:cs="Arial" w:ascii="Times New Roman" w:hAnsi="Times New Roman"/>
          <w:bCs/>
          <w:color w:val="000000"/>
          <w:sz w:val="28"/>
          <w:szCs w:val="28"/>
          <w:lang w:val="uk-UA"/>
        </w:rPr>
        <w:t xml:space="preserve">Нельсон Т. </w:t>
      </w:r>
      <w:r>
        <w:rPr>
          <w:rFonts w:eastAsia="TimesNewRomanPSMT" w:cs="Arial" w:ascii="Times New Roman" w:hAnsi="Times New Roman"/>
          <w:color w:val="000000"/>
          <w:sz w:val="28"/>
          <w:szCs w:val="28"/>
          <w:lang w:val="uk-UA"/>
        </w:rPr>
        <w:t>Психология предубеждений. Секреты шаблонов мышления,</w:t>
      </w:r>
      <w:r>
        <w:rPr>
          <w:rFonts w:cs="Arial" w:ascii="Times New Roman" w:hAnsi="Times New Roman"/>
          <w:b/>
          <w:bCs/>
          <w:color w:val="000000"/>
          <w:sz w:val="28"/>
          <w:szCs w:val="28"/>
          <w:lang w:val="uk-UA"/>
        </w:rPr>
        <w:t xml:space="preserve"> </w:t>
      </w:r>
      <w:r>
        <w:rPr>
          <w:rFonts w:eastAsia="TimesNewRomanPSMT" w:cs="Arial" w:ascii="Times New Roman" w:hAnsi="Times New Roman"/>
          <w:color w:val="000000"/>
          <w:sz w:val="28"/>
          <w:szCs w:val="28"/>
          <w:lang w:val="uk-UA"/>
        </w:rPr>
        <w:t>восприятия и поведения. СПб.: «</w:t>
      </w:r>
      <w:r>
        <w:rPr>
          <w:rFonts w:cs="Arial" w:ascii="Times New Roman" w:hAnsi="Times New Roman"/>
          <w:bCs/>
          <w:color w:val="000000"/>
          <w:sz w:val="28"/>
          <w:szCs w:val="28"/>
          <w:lang w:val="uk-UA"/>
        </w:rPr>
        <w:t>прайм</w:t>
      </w:r>
      <w:r>
        <w:rPr>
          <w:rFonts w:eastAsia="TimesNewRomanPSMT" w:cs="Arial" w:ascii="Times New Roman" w:hAnsi="Times New Roman"/>
          <w:color w:val="000000"/>
          <w:sz w:val="28"/>
          <w:szCs w:val="28"/>
          <w:lang w:val="uk-UA"/>
        </w:rPr>
        <w:t>-ЕВРОЗНАК», 2003. 384 с.</w:t>
      </w:r>
    </w:p>
    <w:p>
      <w:pPr>
        <w:pStyle w:val="ListParagraph"/>
        <w:tabs>
          <w:tab w:val="left" w:pos="993" w:leader="none"/>
        </w:tabs>
        <w:spacing w:lineRule="auto" w:line="360" w:before="0" w:after="0"/>
        <w:ind w:left="0" w:firstLine="709"/>
        <w:contextualSpacing/>
        <w:jc w:val="both"/>
        <w:rPr/>
      </w:pPr>
      <w:r>
        <w:rPr>
          <w:rFonts w:eastAsia="TimesNewRomanPSMT" w:cs="Arial" w:ascii="Times New Roman" w:hAnsi="Times New Roman"/>
          <w:color w:val="000000"/>
          <w:sz w:val="28"/>
          <w:szCs w:val="28"/>
          <w:lang w:val="uk-UA"/>
        </w:rPr>
        <w:t xml:space="preserve">4. Марценюк Т. Гендерна дискримінація на ринку праці в Україні (на прикладі сексуальних домагань). </w:t>
      </w:r>
      <w:r>
        <w:rPr>
          <w:rFonts w:eastAsia="TimesNewRomanPSMT" w:cs="Arial" w:ascii="Times New Roman" w:hAnsi="Times New Roman"/>
          <w:color w:val="000000"/>
          <w:sz w:val="28"/>
          <w:szCs w:val="28"/>
          <w:lang w:val="en-US"/>
        </w:rPr>
        <w:t>URL:</w:t>
      </w:r>
    </w:p>
    <w:p>
      <w:pPr>
        <w:pStyle w:val="ListParagraph"/>
        <w:tabs>
          <w:tab w:val="left" w:pos="993" w:leader="none"/>
        </w:tabs>
        <w:spacing w:lineRule="auto" w:line="360" w:before="0" w:after="0"/>
        <w:ind w:left="0" w:hanging="0"/>
        <w:contextualSpacing/>
        <w:jc w:val="both"/>
        <w:rPr/>
      </w:pPr>
      <w:hyperlink r:id="rId2">
        <w:r>
          <w:rPr>
            <w:rStyle w:val="Style15"/>
            <w:rFonts w:eastAsia="TimesNewRomanPSMT" w:cs="Arial" w:ascii="Times New Roman" w:hAnsi="Times New Roman"/>
            <w:color w:val="000000"/>
            <w:sz w:val="28"/>
            <w:szCs w:val="28"/>
            <w:lang w:val="en-US"/>
          </w:rPr>
          <w:t>http://ekmair.ukma.edu.ua/bitstream/handle/123456789/316/08_martsynyuk_to.pdf</w:t>
        </w:r>
      </w:hyperlink>
    </w:p>
    <w:p>
      <w:pPr>
        <w:pStyle w:val="ListParagraph"/>
        <w:tabs>
          <w:tab w:val="left" w:pos="993" w:leader="none"/>
        </w:tabs>
        <w:spacing w:lineRule="auto" w:line="360" w:before="0" w:after="0"/>
        <w:ind w:left="0" w:firstLine="709"/>
        <w:contextualSpacing/>
        <w:jc w:val="both"/>
        <w:rPr/>
      </w:pPr>
      <w:r>
        <w:rPr>
          <w:rFonts w:eastAsia="TimesNewRomanPSMT" w:cs="Arial" w:ascii="Times New Roman" w:hAnsi="Times New Roman"/>
          <w:color w:val="000000"/>
          <w:sz w:val="28"/>
          <w:szCs w:val="28"/>
          <w:lang w:val="uk-UA"/>
        </w:rPr>
        <w:t>5. Правове регулювання ґендерної рівності у трудових відносинах: міжнародні стандарти та громадська думка. К.:Агентство “Україна”, 2010. Вип. 1 / О.А. Богданюк, В.М. Євсюкова, К.Б. Левченко (кер. авт. кол.). 96 с.</w:t>
      </w:r>
    </w:p>
    <w:p>
      <w:pPr>
        <w:pStyle w:val="2"/>
        <w:numPr>
          <w:ilvl w:val="1"/>
          <w:numId w:val="2"/>
        </w:numPr>
        <w:shd w:val="clear" w:fill="FFFFFF"/>
        <w:spacing w:lineRule="auto" w:line="360" w:before="0" w:after="0"/>
        <w:ind w:left="0" w:right="0" w:firstLine="680"/>
        <w:jc w:val="both"/>
        <w:outlineLvl w:val="1"/>
        <w:rPr/>
      </w:pPr>
      <w:r>
        <w:rPr>
          <w:rFonts w:cs="Arial" w:ascii="Times New Roman" w:hAnsi="Times New Roman"/>
          <w:b w:val="false"/>
          <w:bCs w:val="false"/>
          <w:color w:val="000000"/>
          <w:sz w:val="28"/>
          <w:szCs w:val="28"/>
          <w:lang w:val="uk-UA"/>
        </w:rPr>
        <w:t xml:space="preserve">6. Загальна рекомендація Комітету ООН з ліквідації дискримінації щодо жінок № 19, прийнята під час одинадцятої сесії (1992). </w:t>
      </w:r>
      <w:r>
        <w:rPr>
          <w:rFonts w:cs="Arial" w:ascii="Times New Roman" w:hAnsi="Times New Roman"/>
          <w:b w:val="false"/>
          <w:bCs w:val="false"/>
          <w:color w:val="000000"/>
          <w:sz w:val="28"/>
          <w:szCs w:val="28"/>
          <w:lang w:val="en-US"/>
        </w:rPr>
        <w:t>URL</w:t>
      </w:r>
      <w:r>
        <w:rPr>
          <w:rFonts w:cs="Arial" w:ascii="Times New Roman" w:hAnsi="Times New Roman"/>
          <w:b w:val="false"/>
          <w:bCs w:val="false"/>
          <w:color w:val="000000"/>
          <w:sz w:val="28"/>
          <w:szCs w:val="28"/>
          <w:lang w:val="uk-UA"/>
        </w:rPr>
        <w:t xml:space="preserve">: </w:t>
      </w:r>
      <w:hyperlink r:id="rId3">
        <w:r>
          <w:rPr>
            <w:rStyle w:val="Style15"/>
            <w:rFonts w:cs="Arial" w:ascii="Times New Roman" w:hAnsi="Times New Roman"/>
            <w:b w:val="false"/>
            <w:bCs w:val="false"/>
            <w:color w:val="000000"/>
            <w:sz w:val="28"/>
            <w:szCs w:val="28"/>
            <w:lang w:val="en-US"/>
          </w:rPr>
          <w:t>http</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www</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khpg</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org</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index</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php</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id</w:t>
        </w:r>
        <w:r>
          <w:rPr>
            <w:rStyle w:val="Style15"/>
            <w:rFonts w:cs="Arial" w:ascii="Times New Roman" w:hAnsi="Times New Roman"/>
            <w:b w:val="false"/>
            <w:bCs w:val="false"/>
            <w:color w:val="000000"/>
            <w:sz w:val="28"/>
            <w:szCs w:val="28"/>
            <w:lang w:val="uk-UA"/>
          </w:rPr>
          <w:t>=1153748981</w:t>
        </w:r>
      </w:hyperlink>
    </w:p>
    <w:p>
      <w:pPr>
        <w:pStyle w:val="Style17"/>
        <w:numPr>
          <w:ilvl w:val="0"/>
          <w:numId w:val="0"/>
        </w:numPr>
        <w:shd w:val="clear" w:fill="FFFFFF"/>
        <w:spacing w:lineRule="auto" w:line="360" w:before="0" w:after="0"/>
        <w:ind w:left="0" w:right="0" w:firstLine="680"/>
        <w:jc w:val="both"/>
        <w:outlineLvl w:val="1"/>
        <w:rPr/>
      </w:pPr>
      <w:r>
        <w:rPr>
          <w:rFonts w:cs="Arial" w:ascii="Times New Roman" w:hAnsi="Times New Roman"/>
          <w:b w:val="false"/>
          <w:bCs w:val="false"/>
          <w:color w:val="000000"/>
          <w:sz w:val="28"/>
          <w:szCs w:val="28"/>
          <w:lang w:val="uk-UA"/>
        </w:rPr>
        <w:t>7. Гендерні стереотипи та ставлення громадськості до гендерних проблем в українському суспільстві. Матеріали дослідження. К.: Центр соціальних експертиз Інституту соціології НАН України, 2007. 143 с.</w:t>
      </w:r>
    </w:p>
    <w:p>
      <w:pPr>
        <w:pStyle w:val="Style17"/>
        <w:numPr>
          <w:ilvl w:val="0"/>
          <w:numId w:val="0"/>
        </w:numPr>
        <w:shd w:val="clear" w:fill="FFFFFF"/>
        <w:spacing w:lineRule="auto" w:line="360" w:before="0" w:after="0"/>
        <w:ind w:left="0" w:right="0" w:firstLine="680"/>
        <w:jc w:val="both"/>
        <w:outlineLvl w:val="1"/>
        <w:rPr/>
      </w:pPr>
      <w:r>
        <w:rPr>
          <w:rFonts w:cs="Arial" w:ascii="Times New Roman" w:hAnsi="Times New Roman"/>
          <w:b w:val="false"/>
          <w:bCs w:val="false"/>
          <w:color w:val="000000"/>
          <w:sz w:val="28"/>
          <w:szCs w:val="28"/>
          <w:lang w:val="uk-UA"/>
        </w:rPr>
        <w:t xml:space="preserve">8. </w:t>
      </w:r>
      <w:r>
        <w:rPr>
          <w:rFonts w:cs="Arial" w:ascii="Times New Roman" w:hAnsi="Times New Roman"/>
          <w:b w:val="false"/>
          <w:bCs w:val="false"/>
          <w:color w:val="000000"/>
          <w:sz w:val="28"/>
          <w:szCs w:val="28"/>
          <w:shd w:fill="FFFFFF" w:val="clear"/>
          <w:lang w:val="uk-UA"/>
        </w:rPr>
        <w:t xml:space="preserve">Курчинский И.Г. Моббинг – психологическое насилие на рабочем месте. </w:t>
      </w:r>
      <w:r>
        <w:rPr>
          <w:rFonts w:cs="Arial" w:ascii="Times New Roman" w:hAnsi="Times New Roman"/>
          <w:b w:val="false"/>
          <w:bCs w:val="false"/>
          <w:color w:val="000000"/>
          <w:sz w:val="28"/>
          <w:szCs w:val="28"/>
          <w:shd w:fill="FFFFFF" w:val="clear"/>
          <w:lang w:val="en-US"/>
        </w:rPr>
        <w:t>URL:</w:t>
      </w:r>
      <w:r>
        <w:rPr>
          <w:rFonts w:cs="Arial" w:ascii="Times New Roman" w:hAnsi="Times New Roman"/>
          <w:b w:val="false"/>
          <w:bCs w:val="false"/>
          <w:color w:val="000000"/>
          <w:sz w:val="28"/>
          <w:szCs w:val="28"/>
          <w:shd w:fill="FFFFFF" w:val="clear"/>
          <w:lang w:val="uk-UA"/>
        </w:rPr>
        <w:t xml:space="preserve"> </w:t>
      </w:r>
      <w:hyperlink r:id="rId4">
        <w:r>
          <w:rPr>
            <w:rStyle w:val="Style15"/>
            <w:rFonts w:cs="Arial" w:ascii="Times New Roman" w:hAnsi="Times New Roman"/>
            <w:b w:val="false"/>
            <w:bCs w:val="false"/>
            <w:color w:val="000000"/>
            <w:sz w:val="28"/>
            <w:szCs w:val="28"/>
            <w:lang w:val="uk-UA"/>
          </w:rPr>
          <w:t>http://kpsihologu.kiev.ua/stati2/59-mobbing-psihologicheskoe-nasilie-na-rabochem-meste</w:t>
        </w:r>
      </w:hyperlink>
    </w:p>
    <w:p>
      <w:pPr>
        <w:pStyle w:val="Style17"/>
        <w:numPr>
          <w:ilvl w:val="0"/>
          <w:numId w:val="0"/>
        </w:numPr>
        <w:shd w:val="clear" w:fill="FFFFFF"/>
        <w:spacing w:lineRule="auto" w:line="360" w:before="0" w:after="0"/>
        <w:ind w:left="0" w:right="0" w:firstLine="680"/>
        <w:jc w:val="both"/>
        <w:outlineLvl w:val="1"/>
        <w:rPr/>
      </w:pPr>
      <w:r>
        <w:rPr>
          <w:rFonts w:cs="Arial" w:ascii="Times New Roman" w:hAnsi="Times New Roman"/>
          <w:b w:val="false"/>
          <w:bCs w:val="false"/>
          <w:color w:val="000000"/>
          <w:sz w:val="28"/>
          <w:szCs w:val="28"/>
          <w:lang w:val="uk-UA"/>
        </w:rPr>
        <w:t xml:space="preserve">9. Уварова О. Моббінг: цькування на робочому місці. </w:t>
      </w:r>
      <w:r>
        <w:rPr>
          <w:rFonts w:cs="Arial" w:ascii="Times New Roman" w:hAnsi="Times New Roman"/>
          <w:b w:val="false"/>
          <w:bCs w:val="false"/>
          <w:color w:val="000000"/>
          <w:sz w:val="28"/>
          <w:szCs w:val="28"/>
          <w:lang w:val="en-US"/>
        </w:rPr>
        <w:t>URL:</w:t>
      </w:r>
      <w:r>
        <w:rPr>
          <w:rFonts w:cs="Arial" w:ascii="Times New Roman" w:hAnsi="Times New Roman"/>
          <w:b w:val="false"/>
          <w:bCs w:val="false"/>
          <w:color w:val="000000"/>
          <w:sz w:val="28"/>
          <w:szCs w:val="28"/>
          <w:lang w:val="uk-UA"/>
        </w:rPr>
        <w:t xml:space="preserve"> </w:t>
      </w:r>
      <w:hyperlink r:id="rId5">
        <w:r>
          <w:rPr>
            <w:rStyle w:val="Style15"/>
            <w:rFonts w:cs="Arial" w:ascii="Times New Roman" w:hAnsi="Times New Roman"/>
            <w:b w:val="false"/>
            <w:bCs w:val="false"/>
            <w:color w:val="000000"/>
            <w:sz w:val="28"/>
            <w:szCs w:val="28"/>
            <w:lang w:val="en-US"/>
          </w:rPr>
          <w:t>http</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osvita</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ua</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school</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method</w:t>
        </w:r>
        <w:r>
          <w:rPr>
            <w:rStyle w:val="Style15"/>
            <w:rFonts w:cs="Arial" w:ascii="Times New Roman" w:hAnsi="Times New Roman"/>
            <w:b w:val="false"/>
            <w:bCs w:val="false"/>
            <w:color w:val="000000"/>
            <w:sz w:val="28"/>
            <w:szCs w:val="28"/>
            <w:lang w:val="uk-UA"/>
          </w:rPr>
          <w:t>/</w:t>
        </w:r>
        <w:r>
          <w:rPr>
            <w:rStyle w:val="Style15"/>
            <w:rFonts w:cs="Arial" w:ascii="Times New Roman" w:hAnsi="Times New Roman"/>
            <w:b w:val="false"/>
            <w:bCs w:val="false"/>
            <w:color w:val="000000"/>
            <w:sz w:val="28"/>
            <w:szCs w:val="28"/>
            <w:lang w:val="en-US"/>
          </w:rPr>
          <w:t>teacher</w:t>
        </w:r>
        <w:r>
          <w:rPr>
            <w:rStyle w:val="Style15"/>
            <w:rFonts w:cs="Arial" w:ascii="Times New Roman" w:hAnsi="Times New Roman"/>
            <w:b w:val="false"/>
            <w:bCs w:val="false"/>
            <w:color w:val="000000"/>
            <w:sz w:val="28"/>
            <w:szCs w:val="28"/>
            <w:lang w:val="uk-UA"/>
          </w:rPr>
          <w:t>/2691/</w:t>
        </w:r>
      </w:hyperlink>
    </w:p>
    <w:p>
      <w:pPr>
        <w:pStyle w:val="Style17"/>
        <w:numPr>
          <w:ilvl w:val="0"/>
          <w:numId w:val="0"/>
        </w:numPr>
        <w:shd w:val="clear" w:fill="FFFFFF"/>
        <w:spacing w:lineRule="auto" w:line="240" w:before="0" w:after="0"/>
        <w:ind w:left="0" w:right="0" w:firstLine="680"/>
        <w:jc w:val="both"/>
        <w:outlineLvl w:val="1"/>
        <w:rPr>
          <w:rStyle w:val="Style15"/>
          <w:rFonts w:ascii="Times New Roman" w:hAnsi="Times New Roman" w:cs="Arial"/>
          <w:b w:val="false"/>
          <w:b w:val="false"/>
          <w:bCs w:val="false"/>
          <w:color w:val="000000"/>
          <w:sz w:val="28"/>
          <w:szCs w:val="28"/>
          <w:u w:val="none"/>
          <w:lang w:val="uk-UA"/>
        </w:rPr>
      </w:pPr>
      <w:r>
        <w:rPr/>
      </w:r>
    </w:p>
    <w:p>
      <w:pPr>
        <w:pStyle w:val="Style17"/>
        <w:numPr>
          <w:ilvl w:val="0"/>
          <w:numId w:val="0"/>
        </w:numPr>
        <w:shd w:val="clear" w:fill="FFFFFF"/>
        <w:spacing w:lineRule="auto" w:line="240" w:before="0" w:after="0"/>
        <w:ind w:left="0" w:right="0" w:hanging="0"/>
        <w:jc w:val="both"/>
        <w:outlineLvl w:val="1"/>
        <w:rPr/>
      </w:pPr>
      <w:r>
        <w:rPr>
          <w:rStyle w:val="Style15"/>
          <w:rFonts w:cs="Arial" w:ascii="Times New Roman" w:hAnsi="Times New Roman"/>
          <w:b w:val="false"/>
          <w:bCs w:val="false"/>
          <w:i w:val="false"/>
          <w:caps w:val="false"/>
          <w:smallCaps w:val="false"/>
          <w:color w:val="000000"/>
          <w:spacing w:val="0"/>
          <w:sz w:val="28"/>
          <w:szCs w:val="28"/>
          <w:u w:val="none"/>
          <w:lang w:val="uk-UA"/>
        </w:rPr>
        <w:t>1. Gendernaya psihologiya / red. I. S. Kletsina. 2-e izd. SPb.: Piter, 2009. 496 s.</w:t>
      </w:r>
      <w:r>
        <w:rPr>
          <w:rStyle w:val="Style15"/>
          <w:rFonts w:cs="Arial" w:ascii="Times New Roman" w:hAnsi="Times New Roman"/>
          <w:b w:val="false"/>
          <w:bCs w:val="false"/>
          <w:color w:val="000000"/>
          <w:sz w:val="28"/>
          <w:szCs w:val="28"/>
          <w:u w:val="none"/>
          <w:lang w:val="uk-UA"/>
        </w:rPr>
        <w:t xml:space="preserve"> </w:t>
      </w:r>
    </w:p>
    <w:p>
      <w:pPr>
        <w:pStyle w:val="Style17"/>
        <w:numPr>
          <w:ilvl w:val="0"/>
          <w:numId w:val="0"/>
        </w:numPr>
        <w:shd w:val="clear" w:fill="FFFFFF"/>
        <w:spacing w:lineRule="auto" w:line="240" w:before="0" w:after="0"/>
        <w:ind w:left="0" w:right="0" w:hanging="0"/>
        <w:jc w:val="both"/>
        <w:outlineLvl w:val="1"/>
        <w:rPr/>
      </w:pPr>
      <w:r>
        <w:rPr>
          <w:rStyle w:val="Style15"/>
          <w:rFonts w:cs="Arial" w:ascii="Times New Roman" w:hAnsi="Times New Roman"/>
          <w:b w:val="false"/>
          <w:bCs w:val="false"/>
          <w:color w:val="000000"/>
          <w:sz w:val="28"/>
          <w:szCs w:val="28"/>
          <w:u w:val="none"/>
          <w:lang w:val="uk-UA"/>
        </w:rPr>
        <w:t>2. Tkalych M.H. Henderna psykholohiia: navch. posib. 2-he vyd., vypr., dopovn. K.: Akademvydav, 2016. 256 s.</w:t>
      </w:r>
    </w:p>
    <w:p>
      <w:pPr>
        <w:pStyle w:val="Style17"/>
        <w:numPr>
          <w:ilvl w:val="0"/>
          <w:numId w:val="0"/>
        </w:numPr>
        <w:shd w:val="clear" w:fill="FFFFFF"/>
        <w:spacing w:lineRule="auto" w:line="240" w:before="0" w:after="0"/>
        <w:ind w:left="0" w:right="0" w:hanging="0"/>
        <w:jc w:val="both"/>
        <w:outlineLvl w:val="1"/>
        <w:rPr/>
      </w:pPr>
      <w:r>
        <w:rPr>
          <w:rStyle w:val="Style15"/>
          <w:rFonts w:cs="Arial" w:ascii="Times New Roman" w:hAnsi="Times New Roman"/>
          <w:b w:val="false"/>
          <w:bCs w:val="false"/>
          <w:i w:val="false"/>
          <w:caps w:val="false"/>
          <w:smallCaps w:val="false"/>
          <w:color w:val="000000"/>
          <w:spacing w:val="0"/>
          <w:sz w:val="28"/>
          <w:szCs w:val="28"/>
          <w:u w:val="none"/>
          <w:lang w:val="uk-UA"/>
        </w:rPr>
        <w:t>3. Nelson T. Psihologiya predubezhdeniy. Sekretyi shablonov myishleniya, vospriyatiya i povedeniya. SPb.: «praym-EVROZNAK», 2003. 384 s.</w:t>
      </w:r>
      <w:r>
        <w:rPr>
          <w:rStyle w:val="Style15"/>
          <w:rFonts w:cs="Arial" w:ascii="Times New Roman" w:hAnsi="Times New Roman"/>
          <w:b w:val="false"/>
          <w:bCs w:val="false"/>
          <w:color w:val="000000"/>
          <w:sz w:val="28"/>
          <w:szCs w:val="28"/>
          <w:u w:val="none"/>
          <w:lang w:val="uk-UA"/>
        </w:rPr>
        <w:t xml:space="preserve"> </w:t>
      </w:r>
    </w:p>
    <w:p>
      <w:pPr>
        <w:pStyle w:val="Style17"/>
        <w:numPr>
          <w:ilvl w:val="0"/>
          <w:numId w:val="0"/>
        </w:numPr>
        <w:shd w:val="clear" w:fill="FFFFFF"/>
        <w:spacing w:lineRule="auto" w:line="240" w:before="0" w:after="0"/>
        <w:ind w:left="0" w:right="0" w:hanging="0"/>
        <w:jc w:val="both"/>
        <w:outlineLvl w:val="1"/>
        <w:rPr/>
      </w:pPr>
      <w:r>
        <w:rPr>
          <w:rFonts w:cs="Arial" w:ascii="Times New Roman" w:hAnsi="Times New Roman"/>
          <w:b w:val="false"/>
          <w:bCs w:val="false"/>
          <w:color w:val="000000"/>
          <w:sz w:val="28"/>
          <w:szCs w:val="28"/>
          <w:lang w:val="uk-UA"/>
        </w:rPr>
        <w:t>4. Martseniuk T. Henderna dyskryminatsiia na rynku pratsi v Ukraini (na prykladi seksualnykh domahan). URL:</w:t>
      </w:r>
    </w:p>
    <w:p>
      <w:pPr>
        <w:pStyle w:val="Style17"/>
        <w:numPr>
          <w:ilvl w:val="0"/>
          <w:numId w:val="0"/>
        </w:numPr>
        <w:shd w:val="clear" w:fill="FFFFFF"/>
        <w:spacing w:lineRule="auto" w:line="240" w:before="0" w:after="0"/>
        <w:ind w:left="0" w:right="0" w:hanging="0"/>
        <w:jc w:val="both"/>
        <w:outlineLvl w:val="1"/>
        <w:rPr>
          <w:rFonts w:ascii="Times New Roman" w:hAnsi="Times New Roman"/>
          <w:sz w:val="28"/>
          <w:szCs w:val="28"/>
        </w:rPr>
      </w:pPr>
      <w:hyperlink r:id="rId6">
        <w:r>
          <w:rPr>
            <w:rStyle w:val="Style15"/>
            <w:rFonts w:ascii="Times New Roman" w:hAnsi="Times New Roman"/>
            <w:sz w:val="28"/>
            <w:szCs w:val="28"/>
          </w:rPr>
          <w:t>http://ekmair.ukma.edu.ua/bitstream/handle/123456789/316/08_martsynyuk_to.pdf</w:t>
        </w:r>
      </w:hyperlink>
    </w:p>
    <w:p>
      <w:pPr>
        <w:pStyle w:val="Style17"/>
        <w:numPr>
          <w:ilvl w:val="0"/>
          <w:numId w:val="0"/>
        </w:numPr>
        <w:shd w:val="clear" w:fill="FFFFFF"/>
        <w:spacing w:lineRule="auto" w:line="240" w:before="0" w:after="0"/>
        <w:ind w:left="0" w:right="0" w:hanging="0"/>
        <w:jc w:val="both"/>
        <w:outlineLvl w:val="1"/>
        <w:rPr>
          <w:rFonts w:ascii="Times New Roman" w:hAnsi="Times New Roman"/>
          <w:sz w:val="28"/>
          <w:szCs w:val="28"/>
        </w:rPr>
      </w:pPr>
      <w:r>
        <w:rPr>
          <w:rFonts w:ascii="Times New Roman" w:hAnsi="Times New Roman"/>
          <w:sz w:val="28"/>
          <w:szCs w:val="28"/>
        </w:rPr>
        <w:t>5. Pravove rehuliuvannia gendernoi rivnosti u trudovykh vidnosynakh: mizhnarodni standarty ta hromadska dumka. K.:Ahentstvo “Ukraina”, 2010. Vyp. 1 / O.A. Bohdaniuk, V.M. Yevsiukova, K.B. Levchenko (ker. avt. kol.). 96 s.</w:t>
      </w:r>
    </w:p>
    <w:p>
      <w:pPr>
        <w:pStyle w:val="Style17"/>
        <w:numPr>
          <w:ilvl w:val="0"/>
          <w:numId w:val="0"/>
        </w:numPr>
        <w:shd w:val="clear" w:fill="FFFFFF"/>
        <w:spacing w:lineRule="auto" w:line="240" w:before="0" w:after="0"/>
        <w:ind w:left="0" w:right="0" w:hanging="0"/>
        <w:jc w:val="both"/>
        <w:outlineLvl w:val="1"/>
        <w:rPr>
          <w:rFonts w:ascii="Times New Roman" w:hAnsi="Times New Roman"/>
          <w:sz w:val="28"/>
          <w:szCs w:val="28"/>
        </w:rPr>
      </w:pPr>
      <w:r>
        <w:rPr>
          <w:rFonts w:ascii="Times New Roman" w:hAnsi="Times New Roman"/>
          <w:sz w:val="28"/>
          <w:szCs w:val="28"/>
        </w:rPr>
        <w:t xml:space="preserve">6. Zahalna rekomendatsiia Komitetu OON z likvidatsii dyskryminatsii shchodo zhinok № 19, pryiniata pid chas odynadtsiatoi sesii (1992). URL: </w:t>
      </w:r>
      <w:hyperlink r:id="rId7">
        <w:r>
          <w:rPr>
            <w:rStyle w:val="Style15"/>
            <w:rFonts w:ascii="Times New Roman" w:hAnsi="Times New Roman"/>
            <w:sz w:val="28"/>
            <w:szCs w:val="28"/>
          </w:rPr>
          <w:t>http://www.khpg.org/index.php?id=1153748981</w:t>
        </w:r>
      </w:hyperlink>
    </w:p>
    <w:p>
      <w:pPr>
        <w:pStyle w:val="Style17"/>
        <w:numPr>
          <w:ilvl w:val="0"/>
          <w:numId w:val="0"/>
        </w:numPr>
        <w:shd w:val="clear" w:fill="FFFFFF"/>
        <w:spacing w:lineRule="auto" w:line="240" w:before="0" w:after="0"/>
        <w:ind w:left="0" w:right="0" w:hanging="0"/>
        <w:jc w:val="both"/>
        <w:outlineLvl w:val="1"/>
        <w:rPr>
          <w:rFonts w:ascii="Times New Roman" w:hAnsi="Times New Roman"/>
          <w:sz w:val="28"/>
          <w:szCs w:val="28"/>
        </w:rPr>
      </w:pPr>
      <w:r>
        <w:rPr>
          <w:rFonts w:ascii="Times New Roman" w:hAnsi="Times New Roman"/>
          <w:sz w:val="28"/>
          <w:szCs w:val="28"/>
        </w:rPr>
        <w:t>7. Henderni stereotypy ta stavlennia hromadskosti do hendernykh problem v ukrainskomu suspilstvi. Materialy doslidzhennia. K.: Tsentr sotsialnykh ekspertyz Instytutu sotsiolohii NAN Ukrainy, 2007. 143 s.</w:t>
      </w:r>
    </w:p>
    <w:p>
      <w:pPr>
        <w:pStyle w:val="Style17"/>
        <w:numPr>
          <w:ilvl w:val="0"/>
          <w:numId w:val="0"/>
        </w:numPr>
        <w:shd w:val="clear" w:fill="FFFFFF"/>
        <w:spacing w:lineRule="auto" w:line="240" w:before="0" w:after="0"/>
        <w:ind w:left="0" w:right="0" w:hanging="0"/>
        <w:jc w:val="both"/>
        <w:outlineLvl w:val="1"/>
        <w:rPr/>
      </w:pPr>
      <w:r>
        <w:rPr>
          <w:rFonts w:ascii="Times New Roman" w:hAnsi="Times New Roman"/>
          <w:b w:val="false"/>
          <w:i w:val="false"/>
          <w:caps w:val="false"/>
          <w:smallCaps w:val="false"/>
          <w:color w:val="000000"/>
          <w:spacing w:val="0"/>
          <w:sz w:val="28"/>
          <w:szCs w:val="28"/>
        </w:rPr>
        <w:t xml:space="preserve">8. Kurchinskiy I.G. Mobbing – psihologicheskoe nasilie na rabochem meste. URL: </w:t>
      </w:r>
      <w:hyperlink r:id="rId8">
        <w:r>
          <w:rPr>
            <w:rStyle w:val="Style15"/>
            <w:rFonts w:ascii="Times New Roman" w:hAnsi="Times New Roman"/>
            <w:b w:val="false"/>
            <w:i w:val="false"/>
            <w:caps w:val="false"/>
            <w:smallCaps w:val="false"/>
            <w:color w:val="000000"/>
            <w:spacing w:val="0"/>
            <w:sz w:val="28"/>
            <w:szCs w:val="28"/>
          </w:rPr>
          <w:t>http://kpsihologu.kiev.ua/stati2/59-mobbing-psihologicheskoe-nasilie-na-rabochem-meste</w:t>
        </w:r>
      </w:hyperlink>
    </w:p>
    <w:p>
      <w:pPr>
        <w:pStyle w:val="Style17"/>
        <w:numPr>
          <w:ilvl w:val="0"/>
          <w:numId w:val="0"/>
        </w:numPr>
        <w:shd w:val="clear" w:fill="FFFFFF"/>
        <w:spacing w:lineRule="auto" w:line="240" w:before="0" w:after="0"/>
        <w:ind w:left="0" w:right="0" w:hanging="0"/>
        <w:jc w:val="both"/>
        <w:outlineLvl w:val="1"/>
        <w:rPr/>
      </w:pPr>
      <w:r>
        <w:rPr>
          <w:rFonts w:ascii="Times New Roman" w:hAnsi="Times New Roman"/>
          <w:b w:val="false"/>
          <w:i w:val="false"/>
          <w:caps w:val="false"/>
          <w:smallCaps w:val="false"/>
          <w:color w:val="000000"/>
          <w:spacing w:val="0"/>
          <w:sz w:val="28"/>
          <w:szCs w:val="28"/>
        </w:rPr>
        <w:t xml:space="preserve">9. Uvarova O. Mobbinh: tskuvannia na robochomu mistsi. URL: </w:t>
      </w:r>
      <w:hyperlink r:id="rId9">
        <w:r>
          <w:rPr>
            <w:rStyle w:val="Style15"/>
            <w:rFonts w:ascii="Times New Roman" w:hAnsi="Times New Roman"/>
            <w:b w:val="false"/>
            <w:i w:val="false"/>
            <w:caps w:val="false"/>
            <w:smallCaps w:val="false"/>
            <w:color w:val="000000"/>
            <w:spacing w:val="0"/>
            <w:sz w:val="28"/>
            <w:szCs w:val="28"/>
          </w:rPr>
          <w:t>http://osvita.ua/school/method/teacher/2691/</w:t>
        </w:r>
      </w:hyperlink>
    </w:p>
    <w:p>
      <w:pPr>
        <w:pStyle w:val="Style17"/>
        <w:numPr>
          <w:ilvl w:val="0"/>
          <w:numId w:val="0"/>
        </w:numPr>
        <w:shd w:val="clear" w:fill="FFFFFF"/>
        <w:spacing w:lineRule="auto" w:line="240" w:before="0" w:after="0"/>
        <w:ind w:left="0" w:right="0" w:hanging="0"/>
        <w:jc w:val="both"/>
        <w:outlineLvl w:val="1"/>
        <w:rPr/>
      </w:pPr>
      <w:r>
        <w:rPr>
          <w:rFonts w:ascii="Times New Roman" w:hAnsi="Times New Roman"/>
          <w:color w:val="000000"/>
          <w:sz w:val="28"/>
          <w:szCs w:val="28"/>
        </w:rPr>
        <w:t xml:space="preserve"> </w:t>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72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720" w:hanging="0"/>
      </w:pPr>
    </w:lvl>
    <w:lvl w:ilvl="1">
      <w:start w:val="1"/>
      <w:numFmt w:val="none"/>
      <w:suff w:val="nothing"/>
      <w:lvlText w:val=""/>
      <w:lvlJc w:val="left"/>
      <w:pPr>
        <w:ind w:left="720" w:hanging="0"/>
      </w:pPr>
    </w:lvl>
    <w:lvl w:ilvl="2">
      <w:start w:val="1"/>
      <w:numFmt w:val="none"/>
      <w:suff w:val="nothing"/>
      <w:lvlText w:val=""/>
      <w:lvlJc w:val="left"/>
      <w:pPr>
        <w:ind w:left="720" w:hanging="0"/>
      </w:pPr>
    </w:lvl>
    <w:lvl w:ilvl="3">
      <w:start w:val="1"/>
      <w:numFmt w:val="none"/>
      <w:suff w:val="nothing"/>
      <w:lvlText w:val=""/>
      <w:lvlJc w:val="left"/>
      <w:pPr>
        <w:ind w:left="720" w:hanging="0"/>
      </w:pPr>
    </w:lvl>
    <w:lvl w:ilvl="4">
      <w:start w:val="1"/>
      <w:numFmt w:val="none"/>
      <w:suff w:val="nothing"/>
      <w:lvlText w:val=""/>
      <w:lvlJc w:val="left"/>
      <w:pPr>
        <w:ind w:left="720" w:hanging="0"/>
      </w:pPr>
    </w:lvl>
    <w:lvl w:ilvl="5">
      <w:start w:val="1"/>
      <w:numFmt w:val="none"/>
      <w:suff w:val="nothing"/>
      <w:lvlText w:val=""/>
      <w:lvlJc w:val="left"/>
      <w:pPr>
        <w:ind w:left="720" w:hanging="0"/>
      </w:pPr>
    </w:lvl>
    <w:lvl w:ilvl="6">
      <w:start w:val="1"/>
      <w:numFmt w:val="none"/>
      <w:suff w:val="nothing"/>
      <w:lvlText w:val=""/>
      <w:lvlJc w:val="left"/>
      <w:pPr>
        <w:ind w:left="720" w:hanging="0"/>
      </w:pPr>
    </w:lvl>
    <w:lvl w:ilvl="7">
      <w:start w:val="1"/>
      <w:numFmt w:val="none"/>
      <w:suff w:val="nothing"/>
      <w:lvlText w:val=""/>
      <w:lvlJc w:val="left"/>
      <w:pPr>
        <w:ind w:left="720" w:hanging="0"/>
      </w:pPr>
    </w:lvl>
    <w:lvl w:ilvl="8">
      <w:start w:val="1"/>
      <w:numFmt w:val="none"/>
      <w:suff w:val="nothing"/>
      <w:lvlText w:val=""/>
      <w:lvlJc w:val="left"/>
      <w:pPr>
        <w:ind w:left="72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uk-UA"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uk-UA" w:eastAsia="zh-CN" w:bidi="hi-IN"/>
    </w:rPr>
  </w:style>
  <w:style w:type="paragraph" w:styleId="2">
    <w:name w:val="Heading 2"/>
    <w:basedOn w:val="Normal"/>
    <w:qFormat/>
    <w:pPr>
      <w:numPr>
        <w:ilvl w:val="1"/>
        <w:numId w:val="1"/>
      </w:numPr>
      <w:spacing w:before="280" w:after="280"/>
      <w:outlineLvl w:val="1"/>
    </w:pPr>
    <w:rPr>
      <w:b/>
      <w:bCs/>
      <w:sz w:val="36"/>
      <w:szCs w:val="36"/>
    </w:rPr>
  </w:style>
  <w:style w:type="character" w:styleId="A0">
    <w:name w:val="A0"/>
    <w:qFormat/>
    <w:rPr>
      <w:rFonts w:cs="PF DinText Pro;PF DinText Pro"/>
      <w:color w:val="000000"/>
      <w:sz w:val="22"/>
      <w:szCs w:val="22"/>
    </w:rPr>
  </w:style>
  <w:style w:type="character" w:styleId="Style13">
    <w:name w:val="Основной шрифт абзаца"/>
    <w:qFormat/>
    <w:rPr/>
  </w:style>
  <w:style w:type="character" w:styleId="HTML">
    <w:name w:val="Цитата HTML"/>
    <w:basedOn w:val="Style13"/>
    <w:qFormat/>
    <w:rPr>
      <w:i/>
      <w:iCs/>
    </w:rPr>
  </w:style>
  <w:style w:type="character" w:styleId="A21">
    <w:name w:val="A21"/>
    <w:qFormat/>
    <w:rPr>
      <w:rFonts w:cs="Calibri"/>
      <w:color w:val="000000"/>
    </w:rPr>
  </w:style>
  <w:style w:type="character" w:styleId="Style14">
    <w:name w:val="Выделение жирным"/>
    <w:basedOn w:val="Style13"/>
    <w:qFormat/>
    <w:rPr>
      <w:b/>
      <w:bCs/>
    </w:rPr>
  </w:style>
  <w:style w:type="character" w:styleId="Appleconvertedspace">
    <w:name w:val="apple-converted-space"/>
    <w:basedOn w:val="Style13"/>
    <w:qFormat/>
    <w:rPr/>
  </w:style>
  <w:style w:type="character" w:styleId="ListLabel1">
    <w:name w:val="ListLabel 1"/>
    <w:qFormat/>
    <w:rPr>
      <w:rFonts w:ascii="Times New Roman" w:hAnsi="Times New Roman" w:cs="Times New Roman"/>
      <w:b/>
      <w:color w:val="000000"/>
      <w:sz w:val="28"/>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Обычный (веб)"/>
    <w:basedOn w:val="Normal"/>
    <w:qFormat/>
    <w:pPr>
      <w:spacing w:before="280" w:after="280"/>
    </w:pPr>
    <w:rPr/>
  </w:style>
  <w:style w:type="paragraph" w:styleId="Default">
    <w:name w:val="Default"/>
    <w:qFormat/>
    <w:pPr>
      <w:widowControl/>
      <w:bidi w:val="0"/>
      <w:jc w:val="left"/>
    </w:pPr>
    <w:rPr>
      <w:rFonts w:ascii="Calibri" w:hAnsi="Calibri" w:eastAsia="Times New Roman" w:cs="Calibri"/>
      <w:color w:val="000000"/>
      <w:kern w:val="2"/>
      <w:sz w:val="24"/>
      <w:szCs w:val="24"/>
      <w:lang w:val="ru-RU" w:eastAsia="zh-CN" w:bidi="ar-SA"/>
    </w:rPr>
  </w:style>
  <w:style w:type="paragraph" w:styleId="Pa35">
    <w:name w:val="Pa35"/>
    <w:basedOn w:val="Default"/>
    <w:next w:val="Default"/>
    <w:qFormat/>
    <w:pPr>
      <w:spacing w:lineRule="atLeast" w:line="241"/>
    </w:pPr>
    <w:rPr>
      <w:rFonts w:cs="Times New Roman"/>
      <w:color w:val="000000"/>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val="uk-UA"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kmair.ukma.edu.ua/bitstream/handle/123456789/316/08_martsynyuk_to.pdf" TargetMode="External"/><Relationship Id="rId3" Type="http://schemas.openxmlformats.org/officeDocument/2006/relationships/hyperlink" Target="http://www.khpg.org/index.php?id=1153748981" TargetMode="External"/><Relationship Id="rId4" Type="http://schemas.openxmlformats.org/officeDocument/2006/relationships/hyperlink" Target="http://kpsihologu.kiev.ua/stati2/59-mobbing-psihologicheskoe-nasilie-na-rabochem-meste" TargetMode="External"/><Relationship Id="rId5" Type="http://schemas.openxmlformats.org/officeDocument/2006/relationships/hyperlink" Target="http://osvita.ua/school/method/teacher/2691/" TargetMode="External"/><Relationship Id="rId6" Type="http://schemas.openxmlformats.org/officeDocument/2006/relationships/hyperlink" Target="http://ekmair.ukma.edu.ua/bitstream/handle/123456789/316/08_martsynyuk_to.pdf" TargetMode="External"/><Relationship Id="rId7" Type="http://schemas.openxmlformats.org/officeDocument/2006/relationships/hyperlink" Target="http://www.khpg.org/index.php?id=1153748981" TargetMode="External"/><Relationship Id="rId8" Type="http://schemas.openxmlformats.org/officeDocument/2006/relationships/hyperlink" Target="http://kpsihologu.kiev.ua/stati2/59-mobbing-psihologicheskoe-nasilie-na-rabochem-meste" TargetMode="External"/><Relationship Id="rId9" Type="http://schemas.openxmlformats.org/officeDocument/2006/relationships/hyperlink" Target="http://osvita.ua/school/method/teacher/2691/"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607</TotalTime>
  <Application>LibreOffice/5.4.4.2$Windows_x86 LibreOffice_project/2524958677847fb3bb44820e40380acbe820f960</Application>
  <Pages>13</Pages>
  <Words>3110</Words>
  <Characters>21520</Characters>
  <CharactersWithSpaces>24677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2019-10-05T15:23:35Z</dcterms:created>
  <dc:creator/>
  <dc:description/>
  <dc:language>uk-UA</dc:language>
  <cp:lastModifiedBy/>
  <dcterms:modified xsi:type="dcterms:W3CDTF">2019-10-11T14:25:44Z</dcterms:modified>
  <cp:revision>82</cp:revision>
  <dc:subject/>
  <dc:title/>
</cp:coreProperties>
</file>