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87" w:rsidRDefault="00505087" w:rsidP="00505087">
      <w:pPr>
        <w:spacing w:line="240" w:lineRule="auto"/>
        <w:ind w:firstLine="0"/>
        <w:jc w:val="right"/>
        <w:rPr>
          <w:b/>
        </w:rPr>
      </w:pPr>
      <w:r>
        <w:rPr>
          <w:b/>
        </w:rPr>
        <w:t>ФРІС П.Л.</w:t>
      </w:r>
    </w:p>
    <w:p w:rsidR="00505087" w:rsidRDefault="00505087" w:rsidP="00505087">
      <w:pPr>
        <w:spacing w:line="240" w:lineRule="auto"/>
        <w:ind w:firstLine="0"/>
        <w:jc w:val="right"/>
        <w:rPr>
          <w:b/>
        </w:rPr>
      </w:pPr>
      <w:r>
        <w:rPr>
          <w:b/>
        </w:rPr>
        <w:t>доктор юридичних наук, професор</w:t>
      </w:r>
    </w:p>
    <w:p w:rsidR="00505087" w:rsidRDefault="00505087" w:rsidP="00505087">
      <w:pPr>
        <w:spacing w:line="240" w:lineRule="auto"/>
        <w:ind w:firstLine="0"/>
        <w:jc w:val="right"/>
        <w:rPr>
          <w:b/>
        </w:rPr>
      </w:pPr>
      <w:r>
        <w:rPr>
          <w:b/>
        </w:rPr>
        <w:t>Заслужений діяч науки і техніки України</w:t>
      </w:r>
    </w:p>
    <w:p w:rsidR="00505087" w:rsidRDefault="00505087" w:rsidP="0067606A">
      <w:pPr>
        <w:ind w:firstLine="0"/>
        <w:jc w:val="center"/>
        <w:rPr>
          <w:b/>
        </w:rPr>
      </w:pPr>
    </w:p>
    <w:p w:rsidR="00E42D96" w:rsidRDefault="001E1164" w:rsidP="0067606A">
      <w:pPr>
        <w:ind w:firstLine="0"/>
        <w:jc w:val="center"/>
        <w:rPr>
          <w:b/>
        </w:rPr>
      </w:pPr>
      <w:r>
        <w:rPr>
          <w:b/>
        </w:rPr>
        <w:t>ІДЕОЛОГІЧНІ</w:t>
      </w:r>
      <w:r w:rsidR="0067606A" w:rsidRPr="0067606A">
        <w:rPr>
          <w:b/>
        </w:rPr>
        <w:t xml:space="preserve"> ОСНОВИ ПОЛІТИКИ У СФЕРІ БОРОТЬБИ ЗІ ЗЛОЧИННІСТЮ</w:t>
      </w:r>
    </w:p>
    <w:p w:rsidR="0067606A" w:rsidRDefault="0067606A" w:rsidP="0067606A">
      <w:pPr>
        <w:ind w:firstLine="0"/>
        <w:jc w:val="center"/>
        <w:rPr>
          <w:b/>
        </w:rPr>
      </w:pPr>
    </w:p>
    <w:p w:rsidR="0067606A" w:rsidRDefault="00645192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>
        <w:t xml:space="preserve">Політика </w:t>
      </w:r>
      <w:r w:rsidRPr="009B4C32">
        <w:t>(</w:t>
      </w:r>
      <w:proofErr w:type="spellStart"/>
      <w:r w:rsidRPr="009B4C32">
        <w:t>від</w:t>
      </w:r>
      <w:r w:rsidRPr="009B4C32">
        <w:t> </w:t>
      </w:r>
      <w:hyperlink r:id="rId6" w:tooltip="Грецька мова" w:history="1">
        <w:r w:rsidRPr="009B4C32">
          <w:t>грец</w:t>
        </w:r>
        <w:proofErr w:type="spellEnd"/>
        <w:r w:rsidRPr="009B4C32">
          <w:t>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Palatino Linotype" w:hAnsi="Palatino Linotype" w:cs="Arial"/>
          <w:i/>
          <w:iCs/>
          <w:color w:val="252525"/>
          <w:sz w:val="21"/>
          <w:szCs w:val="21"/>
          <w:shd w:val="clear" w:color="auto" w:fill="FFFFFF"/>
          <w:lang w:val="el-GR"/>
        </w:rPr>
        <w:t>πολιτική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 «</w:t>
      </w:r>
      <w:r w:rsidRPr="009B4C32">
        <w:t>мистецтво управління» державою і суспільством) </w:t>
      </w:r>
      <w:r>
        <w:t xml:space="preserve">, </w:t>
      </w:r>
      <w:bookmarkStart w:id="0" w:name="_GoBack"/>
      <w:bookmarkEnd w:id="0"/>
      <w:r>
        <w:t xml:space="preserve">за своїм визначенням </w:t>
      </w:r>
      <w:r w:rsidRPr="009B4C32">
        <w:t>являє собою</w:t>
      </w:r>
      <w:r w:rsidRPr="009B4C32">
        <w:t xml:space="preserve"> цілеспрямован</w:t>
      </w:r>
      <w:r w:rsidRPr="009B4C32">
        <w:t>у</w:t>
      </w:r>
      <w:r w:rsidRPr="009B4C32">
        <w:t xml:space="preserve"> діяльність, пов</w:t>
      </w:r>
      <w:r w:rsidRPr="009B4C32">
        <w:t>’</w:t>
      </w:r>
      <w:r w:rsidRPr="009B4C32">
        <w:t>язан</w:t>
      </w:r>
      <w:r w:rsidR="009B4C32">
        <w:t>у</w:t>
      </w:r>
      <w:r w:rsidRPr="009B4C32">
        <w:t xml:space="preserve"> з прийняттям відповідальних рішень у взаємовідносин</w:t>
      </w:r>
      <w:r w:rsidRPr="009B4C32">
        <w:t>ах</w:t>
      </w:r>
      <w:r w:rsidRPr="009B4C32">
        <w:t xml:space="preserve"> між різними</w:t>
      </w:r>
      <w:r w:rsidRPr="009B4C32">
        <w:t> </w:t>
      </w:r>
      <w:hyperlink r:id="rId7" w:tooltip="Група соціальна" w:history="1">
        <w:r w:rsidRPr="009B4C32">
          <w:t>суспільними групами</w:t>
        </w:r>
      </w:hyperlink>
      <w:r w:rsidRPr="009B4C32">
        <w:t>,</w:t>
      </w:r>
      <w:proofErr w:type="spellStart"/>
      <w:r w:rsidRPr="009B4C32">
        <w:t> </w:t>
      </w:r>
      <w:hyperlink r:id="rId8" w:tooltip="Держава" w:history="1">
        <w:r w:rsidRPr="009B4C32">
          <w:t>державами</w:t>
        </w:r>
        <w:proofErr w:type="spellEnd"/>
      </w:hyperlink>
      <w:r w:rsidRPr="009B4C32">
        <w:t> </w:t>
      </w:r>
      <w:r w:rsidRPr="009B4C32">
        <w:t>й</w:t>
      </w:r>
      <w:r w:rsidRPr="009B4C32">
        <w:t> </w:t>
      </w:r>
      <w:hyperlink r:id="rId9" w:tooltip="Народ" w:history="1">
        <w:r w:rsidRPr="009B4C32">
          <w:t>народами</w:t>
        </w:r>
      </w:hyperlink>
      <w:r w:rsidRPr="009B4C32">
        <w:t>, із боротьбою за здобуття або утримання</w:t>
      </w:r>
      <w:r w:rsidRPr="009B4C32">
        <w:t> </w:t>
      </w:r>
      <w:hyperlink r:id="rId10" w:tooltip="Державна влада" w:history="1">
        <w:r w:rsidRPr="009B4C32">
          <w:t>державної влади</w:t>
        </w:r>
      </w:hyperlink>
      <w:r w:rsidRPr="009B4C32">
        <w:t xml:space="preserve">, знаряддя регулювання і формування цих стосунків. Політика є управлінською діяльністю стратегічного рівня щодо внутрішніх та зовнішніх </w:t>
      </w:r>
      <w:proofErr w:type="spellStart"/>
      <w:r w:rsidRPr="009B4C32">
        <w:t>правостосунків</w:t>
      </w:r>
      <w:proofErr w:type="spellEnd"/>
      <w:r w:rsidRPr="009B4C32">
        <w:t xml:space="preserve"> і взаємодій.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67606A" w:rsidRPr="0067606A">
        <w:t>Будь-який напрям як внутрішньої так і зовнішньої політики</w:t>
      </w:r>
      <w:r w:rsidR="0067606A">
        <w:t xml:space="preserve"> держави базується на</w:t>
      </w:r>
      <w:r w:rsidR="00402781">
        <w:t xml:space="preserve"> відповідній ідеології. </w:t>
      </w:r>
      <w:r w:rsidR="001F625B">
        <w:t>Спираючись на ідеологію, керуючись нею держава приймає відповідна рішення (закони), що регулюють суспільні відносини, визначають напрями взаємовідносин з іншими державами. На її підставі визначається зміст і спрямованість цих рішень.</w:t>
      </w:r>
      <w:r w:rsidR="00E97D51">
        <w:t xml:space="preserve"> Держава, по суті справи, являє собою відповідний механізм за допомогою якого здійснюється реалізація ідеології.</w:t>
      </w:r>
    </w:p>
    <w:p w:rsidR="00F82A15" w:rsidRDefault="00E97D51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>
        <w:t>Далеко не у кожному суспільстві ідеологія, яка сповідується основною масою населення стає державною ідеологією, що закріплюється в Конституції країни. Часто такою стає ідеологія меншості і тоді у суспільстві виникає конфронтація, яка призводить, у кінцевому, до соціального вибуху. Така ситуація свідчить про несформованість загальнонаціональної ідеології, що, на превеликий жаль, спостерігається сьогодні в нашій країні. Стаття 15 Конституції України зафіксувала існування багатоманітності ідеологій</w:t>
      </w:r>
      <w:r w:rsidRPr="00F82A15">
        <w:rPr>
          <w:lang w:val="ru-RU"/>
        </w:rPr>
        <w:t xml:space="preserve"> в </w:t>
      </w:r>
      <w:r w:rsidRPr="00E97D51">
        <w:t>нашій країні</w:t>
      </w:r>
      <w:r>
        <w:t xml:space="preserve"> з одночасною забороною домінування жодної з них. Однак, вбачається, що такий підхід не </w:t>
      </w:r>
      <w:r w:rsidR="00F82A15">
        <w:t xml:space="preserve">є оптимальним. Конституція повинна була зафіксувати, що ідеологічною основою суспільного життя є ідеологія </w:t>
      </w:r>
      <w:r w:rsidR="00F82A15">
        <w:lastRenderedPageBreak/>
        <w:t>української ідентичності. Ситуація «розколотості» українського суспільства в етнополітичному вимірі, яка спостерігалась ще півтора року тому на сьогодні суттєво змінилась</w:t>
      </w:r>
      <w:r w:rsidR="00BB15B2">
        <w:t>. Сьогодні, практично, усі соціологи, політики, державознавці визнають, що події 2013-2015 рр. і особливо агресія Росії проти України призвели у національному плані до утворення українського народу як багатонаціональної</w:t>
      </w:r>
      <w:r w:rsidR="00F82A15">
        <w:t xml:space="preserve"> </w:t>
      </w:r>
      <w:r w:rsidR="00BB15B2">
        <w:t>спільності, у якій кожна нація, визнаючи свою історичну, етнічну, культурну особливість, свою власну ідентичність, тим не менш вважають себе часткою українського народу. Цей процес пройшли країни Європи у післявоєнний час. Так було сформовано, французький, англійський та інші народи. Яскравим прикладом такого процесу є створення американського народу.</w:t>
      </w:r>
    </w:p>
    <w:p w:rsidR="001F625B" w:rsidRDefault="00BB15B2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>
        <w:t xml:space="preserve">Ідеологія політики у сфері боротьби зі злочинністю, повинна </w:t>
      </w:r>
      <w:r w:rsidR="001C3E4A">
        <w:t>відповідати основним (базовим) постулатам загальнонаціональної ідеології. Те, що на сьогодні базова ідеологія не сформована і не зафіксована у Конституції України негативно впливає на розробку ідеології у сфері боротьби зі злочинністю, визначає її несформованість.</w:t>
      </w:r>
    </w:p>
    <w:p w:rsidR="001C3E4A" w:rsidRDefault="001C3E4A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>
        <w:t>Фіксуючи цей факт, тим не менш не можна заперечувати того, що основні принципи боротьби зі злочинністю знайшли своє закріплення у нормах галузей законодавства, що визначає підходи до охорони найважливіших суспільних відносин, благ та інтересів (криміналізації та декриміналізації), механізмів визнання особи винною у вчиненні посягань на ці об’єкти, реалізації кримінальної відповідальності. Фактично є усі підстави стверджувати, що Конституція України є джерелом (нормативною базою) для формування кримінально-правової, кримінальної процесуальної</w:t>
      </w:r>
      <w:r w:rsidR="009639DB">
        <w:t>,</w:t>
      </w:r>
      <w:r>
        <w:t xml:space="preserve"> кримінально-виконавчої </w:t>
      </w:r>
      <w:r w:rsidR="009639DB">
        <w:t xml:space="preserve">та кримінологічної (профілактичної) </w:t>
      </w:r>
      <w:r>
        <w:t xml:space="preserve">політик. </w:t>
      </w:r>
    </w:p>
    <w:p w:rsidR="009639DB" w:rsidRPr="00587F02" w:rsidRDefault="009639DB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 w:rsidRPr="009639DB">
        <w:t>Конституція України визначає основний підхід до формування цього напряму внутрішньої політики держави, фіксуючи у ст. 1 положення про те, що «Україна є суверенна і незалежна, демократична, соціальна, правова держава</w:t>
      </w:r>
      <w:r>
        <w:t xml:space="preserve">». Відповідно до цього повинна будуватись уся політика у сфері боротьби зі злочинністю. Визнаючи у ст. 3 </w:t>
      </w:r>
      <w:r w:rsidR="005A32C2">
        <w:t xml:space="preserve">пріоритет людини, її життя, </w:t>
      </w:r>
      <w:r w:rsidR="005A32C2">
        <w:lastRenderedPageBreak/>
        <w:t>здоров’я, недоторканості і безпеки в системі соціальних цінностей, Конституція у ч. 2 цієї норми закріплює, що «</w:t>
      </w:r>
      <w:r w:rsidR="005A32C2">
        <w:rPr>
          <w:color w:val="000000"/>
        </w:rPr>
        <w:t>Права і свободи людини та їх гарантії визначають зміст і спрямованість діяльності держави» у т.ч. і політики у сфері боротьби зі злочинністю.</w:t>
      </w:r>
    </w:p>
    <w:p w:rsidR="00587F02" w:rsidRPr="00587F02" w:rsidRDefault="00587F02" w:rsidP="001F625B">
      <w:pPr>
        <w:pStyle w:val="a3"/>
        <w:numPr>
          <w:ilvl w:val="0"/>
          <w:numId w:val="1"/>
        </w:numPr>
        <w:tabs>
          <w:tab w:val="left" w:pos="851"/>
        </w:tabs>
        <w:ind w:left="0" w:firstLine="567"/>
      </w:pPr>
      <w:r>
        <w:t>Норми конституції повинні визначати основні підходи до формування політики у сфері боротьби зі злочинністю особливо на концептуальному рівні. Відверто слід зазначити, що за 24 роки існування незалежної української держави вітчизняний законодавець не спромігся розробити та прийняти такої концепції. Це визначає у т.ч. той,</w:t>
      </w:r>
      <w:r w:rsidR="00767C82">
        <w:t xml:space="preserve"> </w:t>
      </w:r>
      <w:r>
        <w:t>не побоїмося сказати, хаос, який існує у її нормативному регулюванні як у цілому, так і на рівні її складових.</w:t>
      </w:r>
    </w:p>
    <w:p w:rsidR="00767C82" w:rsidRDefault="00587F02" w:rsidP="00587F02">
      <w:pPr>
        <w:tabs>
          <w:tab w:val="left" w:pos="851"/>
        </w:tabs>
      </w:pPr>
      <w:r>
        <w:t xml:space="preserve">Так, наприклад, лише у сфері кримінально-правового охорони законодавство за роки свого існування змінювалось </w:t>
      </w:r>
      <w:r w:rsidR="00767C82">
        <w:t>627 разів! При цьому деякі норми</w:t>
      </w:r>
      <w:r w:rsidR="00767C82">
        <w:rPr>
          <w:lang w:val="ru-RU"/>
        </w:rPr>
        <w:t xml:space="preserve"> </w:t>
      </w:r>
      <w:r w:rsidR="00767C82" w:rsidRPr="00767C82">
        <w:t xml:space="preserve">змінювались по два-три рази у т.ч. </w:t>
      </w:r>
      <w:r w:rsidR="00767C82">
        <w:t xml:space="preserve">якими КК був доповнений після набрання сили. </w:t>
      </w:r>
    </w:p>
    <w:p w:rsidR="00587F02" w:rsidRPr="00767C82" w:rsidRDefault="00767C82" w:rsidP="00587F02">
      <w:pPr>
        <w:tabs>
          <w:tab w:val="left" w:pos="851"/>
        </w:tabs>
      </w:pPr>
      <w:r>
        <w:t>Новий кримінальний процесуальний кодекс, незважаючи на те, що він реально став кроком вперед, порівняно зі своїм попередником, є далеко недосконалим. Незважаючи на те, що на його підготовку було витрачено дуже багато часу, він містить багато прогалин, неузгодженостей, що викликатиме необхідність внесення змін та доповнень.</w:t>
      </w:r>
      <w:r w:rsidR="00A06B8D">
        <w:t xml:space="preserve"> Діяльність судової системи, яка є на сьогодні чи не найголовнішим об’єктом критики як з боку суспільства так і з боку фахівців поглиблює недоліки чинного КПК усугубляючи становище.</w:t>
      </w:r>
    </w:p>
    <w:p w:rsidR="00587F02" w:rsidRDefault="00767C82" w:rsidP="00587F02">
      <w:pPr>
        <w:tabs>
          <w:tab w:val="left" w:pos="851"/>
        </w:tabs>
      </w:pPr>
      <w:r>
        <w:t xml:space="preserve">Кримінально-виконавче законодавство багато у чому залишається «дитям» радянського </w:t>
      </w:r>
      <w:proofErr w:type="spellStart"/>
      <w:r>
        <w:t>ГУЛАГу</w:t>
      </w:r>
      <w:proofErr w:type="spellEnd"/>
      <w:r>
        <w:t>. Фактично в системі виконання покарань продовжують порушуватись конституційн</w:t>
      </w:r>
      <w:r w:rsidR="00A06B8D">
        <w:t>ий</w:t>
      </w:r>
      <w:r>
        <w:t xml:space="preserve"> принцип забезпечення рівності і гідності громадян (ст.</w:t>
      </w:r>
      <w:r w:rsidR="00A06B8D">
        <w:t>21). Особливо це торкається осіб затриманих що перебувають в ІТТ та СІЗО що неодноразово було предметом обговорення на сторінках наукових і публіцистичних видань.</w:t>
      </w:r>
    </w:p>
    <w:p w:rsidR="00587F02" w:rsidRDefault="00A06B8D" w:rsidP="00587F02">
      <w:pPr>
        <w:tabs>
          <w:tab w:val="left" w:pos="851"/>
        </w:tabs>
      </w:pPr>
      <w:r>
        <w:lastRenderedPageBreak/>
        <w:t>Система профілактики правопорушень, яка і так була далеко не досконалою ще у СРСР (хоча і існувала), практично, знищена. Сьогодні вона відсутня.</w:t>
      </w:r>
    </w:p>
    <w:p w:rsidR="00A06B8D" w:rsidRDefault="00ED08A9" w:rsidP="00A06B8D">
      <w:pPr>
        <w:pStyle w:val="a3"/>
        <w:numPr>
          <w:ilvl w:val="0"/>
          <w:numId w:val="1"/>
        </w:numPr>
        <w:tabs>
          <w:tab w:val="left" w:pos="851"/>
        </w:tabs>
        <w:ind w:left="0" w:firstLine="568"/>
      </w:pPr>
      <w:r>
        <w:t>Україна, чи не єдина країна теренах колишнього СРСР, науковці якої спромоглися створити національну правову доктрину, яка включає в себе, в якості складової, доктрину боротьби зі злочинністю</w:t>
      </w:r>
      <w:r w:rsidR="001D469D">
        <w:t xml:space="preserve"> і спроможна стати науковою базою відповідної концепції, що визначатиме засади політики у сфері боротьби зі злочинністю. Ця</w:t>
      </w:r>
      <w:r w:rsidR="00A06B8D">
        <w:t xml:space="preserve"> концепці</w:t>
      </w:r>
      <w:r w:rsidR="001D469D">
        <w:t>я</w:t>
      </w:r>
      <w:r w:rsidR="00A06B8D">
        <w:t xml:space="preserve"> повинна накреслити конкретні напрями та кроки рефор</w:t>
      </w:r>
      <w:r>
        <w:t xml:space="preserve">мування </w:t>
      </w:r>
      <w:r w:rsidR="001D469D">
        <w:t xml:space="preserve">усієї </w:t>
      </w:r>
      <w:r>
        <w:t>системи боротьби зі злочинністю.</w:t>
      </w:r>
    </w:p>
    <w:p w:rsidR="00A06B8D" w:rsidRDefault="001D469D" w:rsidP="00A06B8D">
      <w:pPr>
        <w:pStyle w:val="a3"/>
        <w:numPr>
          <w:ilvl w:val="0"/>
          <w:numId w:val="1"/>
        </w:numPr>
        <w:tabs>
          <w:tab w:val="left" w:pos="851"/>
        </w:tabs>
        <w:ind w:left="0" w:firstLine="568"/>
      </w:pPr>
      <w:r>
        <w:t xml:space="preserve">Як повинна виглядати така концепція? </w:t>
      </w:r>
    </w:p>
    <w:p w:rsidR="001D469D" w:rsidRDefault="001D469D" w:rsidP="001D469D">
      <w:pPr>
        <w:pStyle w:val="a3"/>
        <w:tabs>
          <w:tab w:val="left" w:pos="851"/>
        </w:tabs>
        <w:ind w:left="0"/>
      </w:pPr>
      <w:r>
        <w:t>Вбачається, що вона повинна містити у собі наступні розділи: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Засади політики у сфері боротьби зі злочинністю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Мета і задачі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Основні напрями політики у сфері боротьби зі злочинністю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Основні напрями кримінально-правової політики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Основні напрями кримінальної процесуальної політики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Основні напрями кримінально-виконавчої політики</w:t>
      </w:r>
    </w:p>
    <w:p w:rsidR="001D469D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Основні напрями кримінологічної (профілактичної) політики</w:t>
      </w:r>
    </w:p>
    <w:p w:rsidR="007B0868" w:rsidRDefault="001D469D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>Заходи забезпечення ефективності політики у сфері боротьби зі злочинністю. Критерії ефективності</w:t>
      </w:r>
      <w:r w:rsidR="007B0868">
        <w:t xml:space="preserve"> складових елементів.</w:t>
      </w:r>
    </w:p>
    <w:p w:rsidR="001D469D" w:rsidRDefault="007B0868" w:rsidP="001D469D">
      <w:pPr>
        <w:pStyle w:val="a3"/>
        <w:numPr>
          <w:ilvl w:val="0"/>
          <w:numId w:val="2"/>
        </w:numPr>
        <w:tabs>
          <w:tab w:val="left" w:pos="851"/>
        </w:tabs>
      </w:pPr>
      <w:r>
        <w:t xml:space="preserve">Заключні положення </w:t>
      </w:r>
    </w:p>
    <w:p w:rsidR="00F93EB3" w:rsidRDefault="00F93EB3" w:rsidP="00A06B8D">
      <w:pPr>
        <w:pStyle w:val="a3"/>
        <w:numPr>
          <w:ilvl w:val="0"/>
          <w:numId w:val="1"/>
        </w:numPr>
        <w:tabs>
          <w:tab w:val="left" w:pos="851"/>
        </w:tabs>
        <w:ind w:left="0" w:firstLine="568"/>
      </w:pPr>
      <w:r>
        <w:t>Розділ загальних положень повинен закріпити основні конституційні засади політики у сфері боротьби зі злочинністю, визначити її місце в структурах внутрішньої та зовнішньої політики України.</w:t>
      </w:r>
    </w:p>
    <w:p w:rsidR="00A06B8D" w:rsidRDefault="007B0868" w:rsidP="00F93EB3">
      <w:pPr>
        <w:pStyle w:val="a3"/>
        <w:numPr>
          <w:ilvl w:val="0"/>
          <w:numId w:val="1"/>
        </w:numPr>
        <w:tabs>
          <w:tab w:val="left" w:pos="993"/>
        </w:tabs>
        <w:ind w:left="0" w:firstLine="568"/>
      </w:pPr>
      <w:r>
        <w:t xml:space="preserve">В основу напрямів здійснення кримінально-правової політики повинна бути покладена ідея створення невеликого за обсягом але достатньо жорсткого за своїм змістом, Кримінального кодексу. Саме ідея створення такого КК біла запропонована видатними вчиненими-криміналістами В.М. Кудрявцевим, Н.Ф. </w:t>
      </w:r>
      <w:proofErr w:type="spellStart"/>
      <w:r>
        <w:t>Кузнєцовою</w:t>
      </w:r>
      <w:proofErr w:type="spellEnd"/>
      <w:r>
        <w:t xml:space="preserve">, О.М. </w:t>
      </w:r>
      <w:proofErr w:type="spellStart"/>
      <w:r>
        <w:t>Яковлевим</w:t>
      </w:r>
      <w:proofErr w:type="spellEnd"/>
      <w:r>
        <w:t xml:space="preserve">, Г.М. </w:t>
      </w:r>
      <w:proofErr w:type="spellStart"/>
      <w:r>
        <w:t>Міньковським</w:t>
      </w:r>
      <w:proofErr w:type="spellEnd"/>
      <w:r>
        <w:t xml:space="preserve"> на </w:t>
      </w:r>
      <w:r>
        <w:lastRenderedPageBreak/>
        <w:t xml:space="preserve">початку 90-х років ХХ ст. Її реалізація на сьогодні є </w:t>
      </w:r>
      <w:r w:rsidR="00474321">
        <w:t>практично</w:t>
      </w:r>
      <w:r>
        <w:t xml:space="preserve"> можливою у зв’язку із підготовкою прийняття Кодексу кримінальних проступків.</w:t>
      </w:r>
    </w:p>
    <w:p w:rsidR="007B0868" w:rsidRDefault="00474321" w:rsidP="007B086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8"/>
      </w:pPr>
      <w:r>
        <w:t>Розділ к</w:t>
      </w:r>
      <w:r w:rsidR="007B0868">
        <w:t>онцепція</w:t>
      </w:r>
      <w:r>
        <w:t xml:space="preserve"> в частині </w:t>
      </w:r>
      <w:r w:rsidR="007B0868">
        <w:t xml:space="preserve">кримінальної процесуальної політики повинна мати у своїй основі ліквідацію існуючих прогалин та колізій у чинному КПК, </w:t>
      </w:r>
      <w:r>
        <w:t>посиленню забезпечення рівності сторін, основ змагальності у кримінальному судочинстві та інші питання, які визначать фахівці у даній галузі.</w:t>
      </w:r>
    </w:p>
    <w:p w:rsidR="00474321" w:rsidRDefault="00474321" w:rsidP="007B086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8"/>
      </w:pPr>
      <w:r>
        <w:t>Концепція кримінально-виконавчої політики повинна мати у своїй основі подальше забезпечення прав людини та громадянина як в процесі виконання кримінальних покарань так і при триманні в ІТТ чи в СІЗО.</w:t>
      </w:r>
    </w:p>
    <w:p w:rsidR="00474321" w:rsidRDefault="00474321" w:rsidP="007B086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8"/>
      </w:pPr>
      <w:r>
        <w:t>Розділ присвячений кримінологічній (профілактичній) політиці повинен, у першу чергу, передбачити розробку та прийняття Закону про запобігання злочинності на підставі якого може бути створена національна система про</w:t>
      </w:r>
      <w:r w:rsidR="002B5989">
        <w:t>філактики злочинності. Одночасно він повинен передбачати зміни та доповнення до нормативних актів, що визначають діяльність органів, які здійснюють цю функцію.</w:t>
      </w:r>
    </w:p>
    <w:p w:rsidR="002B5989" w:rsidRDefault="002B5989" w:rsidP="007B086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8"/>
      </w:pPr>
      <w:r>
        <w:t xml:space="preserve">Надзвичайно важливе значення матиме розділ, яким визначатимуться критерії ефективності цього виду політики. Не для кого не є секретом той факт, що існуюча система показників діяльності органів кримінальної юстиції, яка побудована на показниках ще сталінського НКВС не визначає реального стану речей, а навпаки спрямована на їх викривлення. Не може, наприклад, перебувати в основі визначення діяльності оперативних підрозділів МВС (поліції) показник розкриття злочинів. Він призводить до порушення законів, приписок, укриття фактів злочинної діяльності. У кінці кінців слід зрозуміти, що зростання чи зниження злочинності в країні у своїй більшості обумовлюється дією соціально-політичного, соціально-економічного та біосоціального факторів, а не діяльністю конкретних працівників органів кримінальної юстиції, яких </w:t>
      </w:r>
      <w:r>
        <w:rPr>
          <w:lang w:val="ru-RU"/>
        </w:rPr>
        <w:t xml:space="preserve">при </w:t>
      </w:r>
      <w:r w:rsidRPr="00F93EB3">
        <w:t>чинн</w:t>
      </w:r>
      <w:r w:rsidR="00F93EB3">
        <w:t>ій</w:t>
      </w:r>
      <w:r w:rsidRPr="00F93EB3">
        <w:t xml:space="preserve"> системі оцінок, ча</w:t>
      </w:r>
      <w:r w:rsidR="00F93EB3">
        <w:t>с</w:t>
      </w:r>
      <w:r w:rsidRPr="00F93EB3">
        <w:t>тіше</w:t>
      </w:r>
      <w:r w:rsidR="00F93EB3">
        <w:t xml:space="preserve"> усього «призначають» винними за негативні показники</w:t>
      </w:r>
      <w:r>
        <w:t xml:space="preserve"> Система </w:t>
      </w:r>
      <w:r>
        <w:lastRenderedPageBreak/>
        <w:t>критеріїв повинна бути розроблена фахівцями</w:t>
      </w:r>
      <w:r w:rsidR="00F93EB3">
        <w:t xml:space="preserve"> і запроваджена у найкоротші строки.</w:t>
      </w:r>
    </w:p>
    <w:p w:rsidR="00505087" w:rsidRDefault="00505087" w:rsidP="007B086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8"/>
      </w:pPr>
      <w:r>
        <w:t xml:space="preserve"> Вище були розглянуті фундаментальні питання базування політики у сфері боротьби зі злочинністю на нормах Конституції України. На більш конкретному рівні, на рівні співвідношення конкретних норм галузей законодавства з положеннями Конституції виникає безліч питань, як повинні знайти своє  вирішення. У якості лише одного прикладу. Конституція України (ст. 27) передбачає право громадян на життя, яке поєднано з правом захисту власного життя від протиправних посягань. Ми постійно співвідносимо останнє з правом на необхідну оборону (ст. 36 КК). Але, і це, напевно, найважливіше – не передбачаємо у законодавстві</w:t>
      </w:r>
      <w:r w:rsidR="00773B11">
        <w:t xml:space="preserve"> реальних можливостей для громадянина реалізовувати це право. Мова йде про право громадян на зброю самозахисту. Не поринаючи в історію питання зазначимо лише одне – позитивне вирішення його спроможне суттєво вплинути на зниження рівня злочинності у країні. І таких «вузьких» питань – безліч. </w:t>
      </w:r>
    </w:p>
    <w:p w:rsidR="00F93EB3" w:rsidRDefault="00F93EB3" w:rsidP="00505087">
      <w:pPr>
        <w:pStyle w:val="a3"/>
        <w:tabs>
          <w:tab w:val="left" w:pos="851"/>
          <w:tab w:val="left" w:pos="993"/>
        </w:tabs>
        <w:ind w:left="568" w:firstLine="0"/>
      </w:pPr>
    </w:p>
    <w:p w:rsidR="007B0868" w:rsidRDefault="007B0868" w:rsidP="007B0868">
      <w:pPr>
        <w:pStyle w:val="a3"/>
        <w:tabs>
          <w:tab w:val="left" w:pos="851"/>
        </w:tabs>
        <w:ind w:left="568" w:firstLine="0"/>
      </w:pPr>
    </w:p>
    <w:sectPr w:rsidR="007B0868" w:rsidSect="00225B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F3A"/>
    <w:multiLevelType w:val="hybridMultilevel"/>
    <w:tmpl w:val="0A7A4E7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07DCE"/>
    <w:multiLevelType w:val="hybridMultilevel"/>
    <w:tmpl w:val="046CE748"/>
    <w:lvl w:ilvl="0" w:tplc="00B0B8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6A"/>
    <w:rsid w:val="001C3E4A"/>
    <w:rsid w:val="001D469D"/>
    <w:rsid w:val="001E1164"/>
    <w:rsid w:val="001F625B"/>
    <w:rsid w:val="00225B7F"/>
    <w:rsid w:val="002B5989"/>
    <w:rsid w:val="002F52FA"/>
    <w:rsid w:val="00300399"/>
    <w:rsid w:val="003C1D12"/>
    <w:rsid w:val="00402781"/>
    <w:rsid w:val="00474321"/>
    <w:rsid w:val="00505087"/>
    <w:rsid w:val="00516605"/>
    <w:rsid w:val="00587F02"/>
    <w:rsid w:val="005A32C2"/>
    <w:rsid w:val="00645192"/>
    <w:rsid w:val="0067606A"/>
    <w:rsid w:val="00767C82"/>
    <w:rsid w:val="00773B11"/>
    <w:rsid w:val="007B0868"/>
    <w:rsid w:val="009639DB"/>
    <w:rsid w:val="009B4C32"/>
    <w:rsid w:val="009E41DD"/>
    <w:rsid w:val="00A06B8D"/>
    <w:rsid w:val="00BB15B2"/>
    <w:rsid w:val="00E42D96"/>
    <w:rsid w:val="00E97D51"/>
    <w:rsid w:val="00ED08A9"/>
    <w:rsid w:val="00F82A15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FA"/>
    <w:pPr>
      <w:ind w:left="720"/>
      <w:contextualSpacing/>
    </w:pPr>
  </w:style>
  <w:style w:type="paragraph" w:customStyle="1" w:styleId="rvps2">
    <w:name w:val="rvps2"/>
    <w:basedOn w:val="a"/>
    <w:rsid w:val="009639D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45192"/>
  </w:style>
  <w:style w:type="character" w:styleId="a4">
    <w:name w:val="Hyperlink"/>
    <w:basedOn w:val="a0"/>
    <w:uiPriority w:val="99"/>
    <w:semiHidden/>
    <w:unhideWhenUsed/>
    <w:rsid w:val="006451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FA"/>
    <w:pPr>
      <w:ind w:left="720"/>
      <w:contextualSpacing/>
    </w:pPr>
  </w:style>
  <w:style w:type="paragraph" w:customStyle="1" w:styleId="rvps2">
    <w:name w:val="rvps2"/>
    <w:basedOn w:val="a"/>
    <w:rsid w:val="009639D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45192"/>
  </w:style>
  <w:style w:type="character" w:styleId="a4">
    <w:name w:val="Hyperlink"/>
    <w:basedOn w:val="a0"/>
    <w:uiPriority w:val="99"/>
    <w:semiHidden/>
    <w:unhideWhenUsed/>
    <w:rsid w:val="00645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5%D1%80%D0%B6%D0%B0%D0%B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3%D1%80%D1%83%D0%BF%D0%B0_%D1%81%D0%BE%D1%86%D1%96%D0%B0%D0%BB%D1%8C%D0%BD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1%80%D0%B5%D1%86%D1%8C%D0%BA%D0%B0_%D0%BC%D0%BE%D0%B2%D0%B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4%D0%B5%D1%80%D0%B6%D0%B0%D0%B2%D0%BD%D0%B0_%D0%B2%D0%BB%D0%B0%D0%B4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D%D0%B0%D1%80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6876</Words>
  <Characters>3920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5</cp:revision>
  <dcterms:created xsi:type="dcterms:W3CDTF">2015-09-12T08:11:00Z</dcterms:created>
  <dcterms:modified xsi:type="dcterms:W3CDTF">2015-10-21T06:45:00Z</dcterms:modified>
</cp:coreProperties>
</file>