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2A" w:rsidRDefault="00F5682A" w:rsidP="00BB2E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Секція </w:t>
      </w:r>
      <w:r w:rsidR="00BE6BEE" w:rsidRPr="00BB2E03">
        <w:rPr>
          <w:rFonts w:ascii="Times New Roman" w:hAnsi="Times New Roman" w:cs="Times New Roman"/>
          <w:sz w:val="28"/>
          <w:szCs w:val="28"/>
        </w:rPr>
        <w:t>юридичних наук</w:t>
      </w:r>
    </w:p>
    <w:p w:rsidR="004A7AB6" w:rsidRPr="00BB2E03" w:rsidRDefault="004A7AB6" w:rsidP="00BB2E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2A" w:rsidRPr="004A7AB6" w:rsidRDefault="00F5682A" w:rsidP="004A7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E03">
        <w:rPr>
          <w:rFonts w:ascii="Times New Roman" w:hAnsi="Times New Roman" w:cs="Times New Roman"/>
          <w:b/>
          <w:bCs/>
          <w:sz w:val="28"/>
          <w:szCs w:val="28"/>
        </w:rPr>
        <w:t>МЕХАНІЗМ РЕАЛІЗАЦІЇ ПРАВА УЧАСНИКА ГОСПОДАРСЬКОГО ТОВАРИСТВА НА ОТРИМАННЯ ІНФОРМАЦІЇ ПРО ДІЯЛЬНІСТЬ ТОВАРИСТВА</w:t>
      </w:r>
    </w:p>
    <w:p w:rsidR="00DB4A35" w:rsidRPr="00BB2E03" w:rsidRDefault="00DB4A35" w:rsidP="00DB4A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Стефанишин Н. М., </w:t>
      </w:r>
    </w:p>
    <w:p w:rsidR="00DB4A35" w:rsidRPr="00BB2E03" w:rsidRDefault="00DB4A35" w:rsidP="00DB4A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кандидатка юридичних наук, </w:t>
      </w: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BB2E03">
        <w:rPr>
          <w:rFonts w:ascii="Times New Roman" w:hAnsi="Times New Roman" w:cs="Times New Roman"/>
          <w:sz w:val="28"/>
          <w:szCs w:val="28"/>
        </w:rPr>
        <w:t>,</w:t>
      </w:r>
    </w:p>
    <w:p w:rsidR="00DB4A35" w:rsidRDefault="00DB4A35" w:rsidP="00DB4A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BB2E03">
        <w:rPr>
          <w:rFonts w:ascii="Times New Roman" w:hAnsi="Times New Roman" w:cs="Times New Roman"/>
          <w:sz w:val="28"/>
          <w:szCs w:val="28"/>
        </w:rPr>
        <w:t xml:space="preserve"> кафедри цивільного </w:t>
      </w: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права</w:t>
      </w:r>
      <w:proofErr w:type="spellEnd"/>
    </w:p>
    <w:p w:rsidR="00BE6BEE" w:rsidRPr="00BB2E03" w:rsidRDefault="00BE6BEE" w:rsidP="00DB4A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Колесова</w:t>
      </w:r>
      <w:proofErr w:type="spellEnd"/>
      <w:r w:rsidRPr="00BB2E03">
        <w:rPr>
          <w:rFonts w:ascii="Times New Roman" w:hAnsi="Times New Roman" w:cs="Times New Roman"/>
          <w:sz w:val="28"/>
          <w:szCs w:val="28"/>
        </w:rPr>
        <w:t xml:space="preserve"> А</w:t>
      </w:r>
      <w:r w:rsidR="00DB4A35">
        <w:rPr>
          <w:rFonts w:ascii="Times New Roman" w:hAnsi="Times New Roman" w:cs="Times New Roman"/>
          <w:sz w:val="28"/>
          <w:szCs w:val="28"/>
        </w:rPr>
        <w:t>. С.</w:t>
      </w:r>
      <w:r w:rsidRPr="00BB2E03">
        <w:rPr>
          <w:rFonts w:ascii="Times New Roman" w:hAnsi="Times New Roman" w:cs="Times New Roman"/>
          <w:sz w:val="28"/>
          <w:szCs w:val="28"/>
        </w:rPr>
        <w:t>,</w:t>
      </w:r>
    </w:p>
    <w:p w:rsidR="00DB4A35" w:rsidRDefault="00DB4A35" w:rsidP="00BB2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здобувачка </w:t>
      </w:r>
      <w:r w:rsidR="00BE6BEE" w:rsidRPr="00BB2E03">
        <w:rPr>
          <w:rFonts w:ascii="Times New Roman" w:hAnsi="Times New Roman" w:cs="Times New Roman"/>
          <w:sz w:val="28"/>
          <w:szCs w:val="28"/>
        </w:rPr>
        <w:t>I</w:t>
      </w:r>
      <w:r w:rsidR="00BE6BEE" w:rsidRPr="00BB2E0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  <w:r w:rsidR="00BE6BEE" w:rsidRPr="00BB2E03">
        <w:rPr>
          <w:rFonts w:ascii="Times New Roman" w:hAnsi="Times New Roman" w:cs="Times New Roman"/>
          <w:sz w:val="28"/>
          <w:szCs w:val="28"/>
        </w:rPr>
        <w:t>,</w:t>
      </w:r>
    </w:p>
    <w:p w:rsidR="00BE6BEE" w:rsidRPr="00BB2E03" w:rsidRDefault="00BE6BEE" w:rsidP="00BB2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 </w:t>
      </w:r>
      <w:r w:rsidR="00DB4A35">
        <w:rPr>
          <w:rFonts w:ascii="Times New Roman" w:hAnsi="Times New Roman" w:cs="Times New Roman"/>
          <w:sz w:val="28"/>
          <w:szCs w:val="28"/>
        </w:rPr>
        <w:t>н</w:t>
      </w:r>
      <w:r w:rsidRPr="00BB2E03">
        <w:rPr>
          <w:rFonts w:ascii="Times New Roman" w:hAnsi="Times New Roman" w:cs="Times New Roman"/>
          <w:sz w:val="28"/>
          <w:szCs w:val="28"/>
        </w:rPr>
        <w:t>авчал</w:t>
      </w:r>
      <w:r w:rsidR="00802DB2">
        <w:rPr>
          <w:rFonts w:ascii="Times New Roman" w:hAnsi="Times New Roman" w:cs="Times New Roman"/>
          <w:sz w:val="28"/>
          <w:szCs w:val="28"/>
        </w:rPr>
        <w:t>ьно-науковий юридичний інститут</w:t>
      </w:r>
    </w:p>
    <w:p w:rsidR="00BE6BEE" w:rsidRPr="00BB2E03" w:rsidRDefault="00BE6BEE" w:rsidP="00BB2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Господарські товариства є основою сучасної економіки, а ефективність їх діяльності безпосередньо залежить від належної взаємодії між самими товариствами та їхніми учасниками. Ключову роль у цій системі відіграють корпоративні права, серед яких особливе (гарантуюче) місце посідає право на інформацію. Належне інформаційне забезпечення учасника</w:t>
      </w:r>
      <w:r w:rsidR="00802DB2">
        <w:rPr>
          <w:rFonts w:ascii="Times New Roman" w:hAnsi="Times New Roman" w:cs="Times New Roman"/>
          <w:sz w:val="28"/>
          <w:szCs w:val="28"/>
        </w:rPr>
        <w:t xml:space="preserve"> товариства</w:t>
      </w:r>
      <w:r w:rsidRPr="00BB2E03">
        <w:rPr>
          <w:rFonts w:ascii="Times New Roman" w:hAnsi="Times New Roman" w:cs="Times New Roman"/>
          <w:sz w:val="28"/>
          <w:szCs w:val="28"/>
        </w:rPr>
        <w:t xml:space="preserve"> є фундаментальною передумовою для реалізації ним інших правомочностей: від безпосередньої участі в управлінні справами до контролю за діяльністю виконавчих органів та отримання дивідендів. Без </w:t>
      </w:r>
      <w:r w:rsidR="004245A7">
        <w:rPr>
          <w:rFonts w:ascii="Times New Roman" w:hAnsi="Times New Roman" w:cs="Times New Roman"/>
          <w:sz w:val="28"/>
          <w:szCs w:val="28"/>
        </w:rPr>
        <w:t>вільного</w:t>
      </w:r>
      <w:r w:rsidRPr="00BB2E03">
        <w:rPr>
          <w:rFonts w:ascii="Times New Roman" w:hAnsi="Times New Roman" w:cs="Times New Roman"/>
          <w:sz w:val="28"/>
          <w:szCs w:val="28"/>
        </w:rPr>
        <w:t xml:space="preserve"> доступу до достовірних даних про фінансово-господарський стан компанії фактична та повноцінна реалізація корпоративних прав стає неможливою, що неминуче створює підґрунтя для зловживань та корпоративних конфліктів.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Водночас, в умовах постійного оновлення корпоративного законодавства України та динамічного розвитку судової практики, питання доступу учасників товариства до інформації залишається одним із найбільш гострих. Незважаючи на нормативне закріплення цього права</w:t>
      </w:r>
      <w:r w:rsidR="00A207F0">
        <w:rPr>
          <w:rFonts w:ascii="Times New Roman" w:hAnsi="Times New Roman" w:cs="Times New Roman"/>
          <w:sz w:val="28"/>
          <w:szCs w:val="28"/>
        </w:rPr>
        <w:t xml:space="preserve">, </w:t>
      </w:r>
      <w:r w:rsidRPr="00BB2E03">
        <w:rPr>
          <w:rFonts w:ascii="Times New Roman" w:hAnsi="Times New Roman" w:cs="Times New Roman"/>
          <w:sz w:val="28"/>
          <w:szCs w:val="28"/>
        </w:rPr>
        <w:t xml:space="preserve">на практиці </w:t>
      </w:r>
      <w:proofErr w:type="spellStart"/>
      <w:r w:rsidRPr="00BB2E03">
        <w:rPr>
          <w:rFonts w:ascii="Times New Roman" w:hAnsi="Times New Roman" w:cs="Times New Roman"/>
          <w:sz w:val="28"/>
          <w:szCs w:val="28"/>
        </w:rPr>
        <w:t>міноритарні</w:t>
      </w:r>
      <w:proofErr w:type="spellEnd"/>
      <w:r w:rsidRPr="00BB2E03">
        <w:rPr>
          <w:rFonts w:ascii="Times New Roman" w:hAnsi="Times New Roman" w:cs="Times New Roman"/>
          <w:sz w:val="28"/>
          <w:szCs w:val="28"/>
        </w:rPr>
        <w:t xml:space="preserve"> учасники регулярно стикаються зі штучними перешкодами або прямими відмовами з боку виконавчих органів у наданні документів.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Як свідчать огляди судової практики Касаційного господарського суду у складі Верховного Суду, спори щодо зобов'язання товариства надати фінансову звітність, первинну документацію чи відомості про стан майна становлять значну частку всіх корпоративних конфліктів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[1]. Крім того, саме безперешкодне право на інформацію є критично необхідною складовою ефективної та справедливої реалізації інших майнових інтересів, зокрема права учасника на виплату дивідендів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[2].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Слід зазначити, що чинне законодавство України встановлює чіткі нормативні рамки для реалізації учасником права на отримання інформації, які диференціюються залежно від організаційно-правової форми товариства. </w:t>
      </w:r>
      <w:r w:rsidRPr="00BB2E03">
        <w:rPr>
          <w:rFonts w:ascii="Times New Roman" w:hAnsi="Times New Roman" w:cs="Times New Roman"/>
          <w:sz w:val="28"/>
          <w:szCs w:val="28"/>
        </w:rPr>
        <w:lastRenderedPageBreak/>
        <w:t>Для товариств з обмеженою та додатковою відповідальністю (ТОВ та ТДВ) базовим нормативним актом є Закон України «Про товариства з обмеженою та додатковою відповідальністю»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[3]. Стаття 43 цього Закону зобов'язала товариство зберігати визначений перелік документації та надавати до неї доступ на письмову вимогу учасника протягом десяти днів. При цьому</w:t>
      </w:r>
      <w:r w:rsidR="00A207F0">
        <w:rPr>
          <w:rFonts w:ascii="Times New Roman" w:hAnsi="Times New Roman" w:cs="Times New Roman"/>
          <w:sz w:val="28"/>
          <w:szCs w:val="28"/>
        </w:rPr>
        <w:t>,</w:t>
      </w:r>
      <w:r w:rsidRPr="00BB2E03">
        <w:rPr>
          <w:rFonts w:ascii="Times New Roman" w:hAnsi="Times New Roman" w:cs="Times New Roman"/>
          <w:sz w:val="28"/>
          <w:szCs w:val="28"/>
        </w:rPr>
        <w:t xml:space="preserve"> витрати на виготовлення копій покладаються на учасника, що є превентивним механізмом від зловживань правом шляхом подання надто об'ємних запитів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[4].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Разом з цим, механізм інформаційного забезпечення в акціонерних товариствах (АТ) має свою специфіку і регламентується Законом України «Про акціонерні товариства»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[6]. Враховуючи публічну природу АТ, законодавство поєднує вимоги щодо обов'язкового розкриття інформації на ринку капіталів із правом акціонерів на індивідуальні запити фінансово-господарських документів. Своєю чергою, для учасників повних та командитних товариств цивільне законодавство гарантує найширший доступ до документації щодо ведення справ, що обумовлено їхньою солідарною відповідальністю та особистою участю в бізнесі.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Як вбачається з вищенаведеного, попри законодавчу визначеність, практична реалізація механізму часто натрапляє на опір менеджменту. Одним із найпоширеніших аргументів для відмови у наданні документів є посилання на комерційну таємницю. Проте</w:t>
      </w:r>
      <w:r w:rsidR="00A207F0">
        <w:rPr>
          <w:rFonts w:ascii="Times New Roman" w:hAnsi="Times New Roman" w:cs="Times New Roman"/>
          <w:sz w:val="28"/>
          <w:szCs w:val="28"/>
        </w:rPr>
        <w:t>,</w:t>
      </w:r>
      <w:r w:rsidRPr="00BB2E03">
        <w:rPr>
          <w:rFonts w:ascii="Times New Roman" w:hAnsi="Times New Roman" w:cs="Times New Roman"/>
          <w:sz w:val="28"/>
          <w:szCs w:val="28"/>
        </w:rPr>
        <w:t xml:space="preserve"> судова практика свідчить, що статус комерційної таємниці не може бути підставою для обмеження доступу учасника до інформації про його ж компанію. Захист конфіденційних даних має забезпечуватися підписанням угоди про нерозголошення (NDA), а не їх приховуванням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[5].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Крім того, важливим елементом контролю є право учасника ТОВ, який володіє часткою 10% і більше, вимагати проведення незалежного аудиту фінансової звітності. Відмова керівництва у наданні документів аудитору розцінюється як порушення корпоративних прав і є самостійною підставою для судового позову про зобов'язання вчинити дії</w:t>
      </w:r>
      <w:r w:rsidR="00802DB2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[1].</w:t>
      </w:r>
    </w:p>
    <w:p w:rsidR="00BE6BEE" w:rsidRPr="00BB2E03" w:rsidRDefault="00BE6BEE" w:rsidP="00BB2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>Підсумовуючи вище</w:t>
      </w:r>
      <w:r w:rsidR="00A207F0">
        <w:rPr>
          <w:rFonts w:ascii="Times New Roman" w:hAnsi="Times New Roman" w:cs="Times New Roman"/>
          <w:sz w:val="28"/>
          <w:szCs w:val="28"/>
        </w:rPr>
        <w:t xml:space="preserve"> зазначене</w:t>
      </w:r>
      <w:r w:rsidRPr="00BB2E03">
        <w:rPr>
          <w:rFonts w:ascii="Times New Roman" w:hAnsi="Times New Roman" w:cs="Times New Roman"/>
          <w:sz w:val="28"/>
          <w:szCs w:val="28"/>
        </w:rPr>
        <w:t xml:space="preserve">, вважаємо, </w:t>
      </w:r>
      <w:r w:rsidR="00A207F0">
        <w:rPr>
          <w:rFonts w:ascii="Times New Roman" w:hAnsi="Times New Roman" w:cs="Times New Roman"/>
          <w:sz w:val="28"/>
          <w:szCs w:val="28"/>
        </w:rPr>
        <w:t>незважаючи на те, що</w:t>
      </w:r>
      <w:r w:rsidRPr="00BB2E03">
        <w:rPr>
          <w:rFonts w:ascii="Times New Roman" w:hAnsi="Times New Roman" w:cs="Times New Roman"/>
          <w:sz w:val="28"/>
          <w:szCs w:val="28"/>
        </w:rPr>
        <w:t xml:space="preserve"> загальною тенденцією законодавства є забезпечення максимальної прозорості діяльності для інвестора, механізм реалізації права учасника на інформацію потребує адаптації та деталізації для подолання зловживань на практиці.</w:t>
      </w:r>
    </w:p>
    <w:p w:rsidR="00BE6BEE" w:rsidRDefault="00BE6BEE" w:rsidP="009D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A207F0">
        <w:rPr>
          <w:rFonts w:ascii="Times New Roman" w:hAnsi="Times New Roman" w:cs="Times New Roman"/>
          <w:sz w:val="28"/>
          <w:szCs w:val="28"/>
        </w:rPr>
        <w:t>предметом самостійних наукових пошуків та обговорень в майбутньому можуть бути питання щодо:</w:t>
      </w:r>
      <w:r w:rsidR="00A207F0" w:rsidRPr="00BB2E03">
        <w:rPr>
          <w:rFonts w:ascii="Times New Roman" w:hAnsi="Times New Roman" w:cs="Times New Roman"/>
          <w:sz w:val="28"/>
          <w:szCs w:val="28"/>
        </w:rPr>
        <w:t xml:space="preserve"> </w:t>
      </w:r>
      <w:r w:rsidR="00A207F0">
        <w:rPr>
          <w:rFonts w:ascii="Times New Roman" w:hAnsi="Times New Roman" w:cs="Times New Roman"/>
          <w:sz w:val="28"/>
          <w:szCs w:val="28"/>
        </w:rPr>
        <w:t>деталізації</w:t>
      </w:r>
      <w:r w:rsidRPr="00BB2E03">
        <w:rPr>
          <w:rFonts w:ascii="Times New Roman" w:hAnsi="Times New Roman" w:cs="Times New Roman"/>
          <w:sz w:val="28"/>
          <w:szCs w:val="28"/>
        </w:rPr>
        <w:t xml:space="preserve"> процедур та строків доступу до інформації безпосередньо на рівні статутів товариств та корпоративних договорів мі</w:t>
      </w:r>
      <w:r w:rsidR="00A207F0">
        <w:rPr>
          <w:rFonts w:ascii="Times New Roman" w:hAnsi="Times New Roman" w:cs="Times New Roman"/>
          <w:sz w:val="28"/>
          <w:szCs w:val="28"/>
        </w:rPr>
        <w:t xml:space="preserve">ж учасниками; </w:t>
      </w:r>
      <w:r w:rsidRPr="00BB2E03">
        <w:rPr>
          <w:rFonts w:ascii="Times New Roman" w:hAnsi="Times New Roman" w:cs="Times New Roman"/>
          <w:sz w:val="28"/>
          <w:szCs w:val="28"/>
        </w:rPr>
        <w:t xml:space="preserve">нормативне закріплення обов'язковості застосування угод про конфіденційність (NDA) як механізму, що унеможливлює безпідставні відмови у наданні документів під приводом </w:t>
      </w:r>
      <w:r w:rsidRPr="00BB2E03">
        <w:rPr>
          <w:rFonts w:ascii="Times New Roman" w:hAnsi="Times New Roman" w:cs="Times New Roman"/>
          <w:sz w:val="28"/>
          <w:szCs w:val="28"/>
        </w:rPr>
        <w:lastRenderedPageBreak/>
        <w:t>захисту комерційної таємниці;</w:t>
      </w:r>
      <w:r w:rsidR="00A207F0">
        <w:rPr>
          <w:rFonts w:ascii="Times New Roman" w:hAnsi="Times New Roman" w:cs="Times New Roman"/>
          <w:sz w:val="28"/>
          <w:szCs w:val="28"/>
        </w:rPr>
        <w:t xml:space="preserve"> </w:t>
      </w:r>
      <w:r w:rsidRPr="00BB2E03">
        <w:rPr>
          <w:rFonts w:ascii="Times New Roman" w:hAnsi="Times New Roman" w:cs="Times New Roman"/>
          <w:sz w:val="28"/>
          <w:szCs w:val="28"/>
        </w:rPr>
        <w:t>розширення відповідальності виконавчих органів за створення штучних перешкод у проведенні незалежного аудиту на вимогу учасника.</w:t>
      </w:r>
      <w:r w:rsidR="009D3D17">
        <w:rPr>
          <w:rFonts w:ascii="Times New Roman" w:hAnsi="Times New Roman" w:cs="Times New Roman"/>
          <w:sz w:val="28"/>
          <w:szCs w:val="28"/>
        </w:rPr>
        <w:t xml:space="preserve"> Тому, к</w:t>
      </w:r>
      <w:r w:rsidRPr="00BB2E03">
        <w:rPr>
          <w:rFonts w:ascii="Times New Roman" w:hAnsi="Times New Roman" w:cs="Times New Roman"/>
          <w:sz w:val="28"/>
          <w:szCs w:val="28"/>
        </w:rPr>
        <w:t>омплексне врегулювання окреслених питань сприятиме зміцненню корпоративних правовідносин та зменшить системні зловживання з боку менеджменту. Більше того, такі кроки матимуть ширший стратегічний ефект: вони сприятимуть утвердженню принципу верховенства права та засвідчать спроможність правової системи забезпечувати надійний захист приватних інвестицій та стабільність цивільного обороту в Україні.</w:t>
      </w:r>
    </w:p>
    <w:p w:rsidR="009D3D17" w:rsidRDefault="009D3D17" w:rsidP="009D3D17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6BEE" w:rsidRPr="00BB2E03" w:rsidRDefault="009D3D17" w:rsidP="009D3D17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використаних джерел</w:t>
      </w:r>
    </w:p>
    <w:p w:rsidR="00BE6BEE" w:rsidRPr="00BB2E03" w:rsidRDefault="00CD5192" w:rsidP="00BB2E03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Огляд судової практики Касаційного господарського суду у складі Верховного Суду щодо права учасника (акціонера) на отримання інформації про діяльність товариства та на проведення аудиту. URL: </w:t>
      </w:r>
      <w:hyperlink r:id="rId5" w:history="1">
        <w:r w:rsidRPr="00BB2E03">
          <w:rPr>
            <w:rStyle w:val="ae"/>
            <w:rFonts w:ascii="Times New Roman" w:hAnsi="Times New Roman" w:cs="Times New Roman"/>
            <w:sz w:val="28"/>
            <w:szCs w:val="28"/>
          </w:rPr>
          <w:t>https://supreme.court.gov.ua/userfiles/media/new_folder_for_uploads/supreme/ogliady/Oglyad_KGS_pravo_inform_audit.pdf</w:t>
        </w:r>
      </w:hyperlink>
      <w:r w:rsidRPr="00BB2E03">
        <w:rPr>
          <w:rFonts w:ascii="Times New Roman" w:hAnsi="Times New Roman" w:cs="Times New Roman"/>
          <w:sz w:val="28"/>
          <w:szCs w:val="28"/>
        </w:rPr>
        <w:t xml:space="preserve"> (дата звернення: 10.03.2026 р.).</w:t>
      </w:r>
    </w:p>
    <w:p w:rsidR="00BE6BEE" w:rsidRPr="00BB2E03" w:rsidRDefault="00CD5192" w:rsidP="00BB2E03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Право на інформацію про діяльність господарського товариства як необхідна складова ефективної та справедливої реалізації права на дивіденди учасника господарського товариства. URL: </w:t>
      </w:r>
      <w:hyperlink r:id="rId6" w:history="1">
        <w:r w:rsidRPr="00BB2E03">
          <w:rPr>
            <w:rStyle w:val="ae"/>
            <w:rFonts w:ascii="Times New Roman" w:hAnsi="Times New Roman" w:cs="Times New Roman"/>
            <w:sz w:val="28"/>
            <w:szCs w:val="28"/>
          </w:rPr>
          <w:t>https://www.researchgate.net/publication/394231040</w:t>
        </w:r>
      </w:hyperlink>
      <w:r w:rsidRPr="00BB2E03">
        <w:rPr>
          <w:rFonts w:ascii="Times New Roman" w:hAnsi="Times New Roman" w:cs="Times New Roman"/>
          <w:sz w:val="28"/>
          <w:szCs w:val="28"/>
        </w:rPr>
        <w:t xml:space="preserve"> (дата звернення: 10.03.2026 р.).</w:t>
      </w:r>
    </w:p>
    <w:p w:rsidR="00CD5192" w:rsidRPr="00BB2E03" w:rsidRDefault="00CD5192" w:rsidP="00BB2E03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Про товариства з обмеженою та додатковою відповідальністю: Закон України від 06.02.2018 р. № 2275-VIII. URL: </w:t>
      </w:r>
      <w:hyperlink r:id="rId7" w:anchor="Text" w:history="1">
        <w:r w:rsidRPr="00BB2E03">
          <w:rPr>
            <w:rStyle w:val="ae"/>
            <w:rFonts w:ascii="Times New Roman" w:hAnsi="Times New Roman" w:cs="Times New Roman"/>
            <w:sz w:val="28"/>
            <w:szCs w:val="28"/>
          </w:rPr>
          <w:t>https://zakon.rada.gov.ua/laws/show/2275-19#Text</w:t>
        </w:r>
      </w:hyperlink>
      <w:r w:rsidRPr="00BB2E03">
        <w:rPr>
          <w:rFonts w:ascii="Times New Roman" w:hAnsi="Times New Roman" w:cs="Times New Roman"/>
          <w:sz w:val="28"/>
          <w:szCs w:val="28"/>
        </w:rPr>
        <w:t xml:space="preserve"> (дата звернення: 11.03.2026 р.).</w:t>
      </w:r>
    </w:p>
    <w:p w:rsidR="00CD5192" w:rsidRPr="00BB2E03" w:rsidRDefault="00CD5192" w:rsidP="00BB2E03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Науково-практичний коментар до Закону України «Про товариства з обмеженою та додатковою відповідальністю». URL: </w:t>
      </w:r>
      <w:hyperlink r:id="rId8" w:history="1">
        <w:r w:rsidRPr="00BB2E03">
          <w:rPr>
            <w:rStyle w:val="ae"/>
            <w:rFonts w:ascii="Times New Roman" w:hAnsi="Times New Roman" w:cs="Times New Roman"/>
            <w:sz w:val="28"/>
            <w:szCs w:val="28"/>
          </w:rPr>
          <w:t>https://repository.ndippp.gov.ua/bitstream/handle/765432198/612</w:t>
        </w:r>
      </w:hyperlink>
      <w:r w:rsidRPr="00BB2E03">
        <w:rPr>
          <w:rFonts w:ascii="Times New Roman" w:hAnsi="Times New Roman" w:cs="Times New Roman"/>
          <w:sz w:val="28"/>
          <w:szCs w:val="28"/>
        </w:rPr>
        <w:t xml:space="preserve"> (дата звернення: 11.03.2026 р.).</w:t>
      </w:r>
    </w:p>
    <w:p w:rsidR="00CD5192" w:rsidRPr="00BB2E03" w:rsidRDefault="00CD5192" w:rsidP="00BB2E03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Відмовити не можна надати: доступ до інформації для учасників ТОВ. Юридична Газета. URL: </w:t>
      </w:r>
      <w:hyperlink r:id="rId9" w:history="1">
        <w:r w:rsidRPr="00BB2E03">
          <w:rPr>
            <w:rStyle w:val="ae"/>
            <w:rFonts w:ascii="Times New Roman" w:hAnsi="Times New Roman" w:cs="Times New Roman"/>
            <w:sz w:val="28"/>
            <w:szCs w:val="28"/>
          </w:rPr>
          <w:t>https://yur-gazeta.com/publications/practice/sudova-praktika/vidmoviti-ne-mozhna-nadati-dostup-do-informaciyi-dlya-kolishnih-uchasnikiv-tov-naslidki-sudovogo-pre.html</w:t>
        </w:r>
      </w:hyperlink>
      <w:r w:rsidRPr="00BB2E03">
        <w:rPr>
          <w:rFonts w:ascii="Times New Roman" w:hAnsi="Times New Roman" w:cs="Times New Roman"/>
          <w:sz w:val="28"/>
          <w:szCs w:val="28"/>
        </w:rPr>
        <w:t xml:space="preserve"> (дата звернення: 12.03.2026 р.).</w:t>
      </w:r>
    </w:p>
    <w:p w:rsidR="00CD5192" w:rsidRPr="00BB2E03" w:rsidRDefault="00CD5192" w:rsidP="00BB2E03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E03">
        <w:rPr>
          <w:rFonts w:ascii="Times New Roman" w:hAnsi="Times New Roman" w:cs="Times New Roman"/>
          <w:sz w:val="28"/>
          <w:szCs w:val="28"/>
        </w:rPr>
        <w:t xml:space="preserve">Про акціонерні товариства: Закон України від 27.07.2022 р. № 2465-IX. URL: </w:t>
      </w:r>
      <w:hyperlink r:id="rId10" w:anchor="Text" w:history="1">
        <w:r w:rsidRPr="00BB2E03">
          <w:rPr>
            <w:rStyle w:val="ae"/>
            <w:rFonts w:ascii="Times New Roman" w:hAnsi="Times New Roman" w:cs="Times New Roman"/>
            <w:sz w:val="28"/>
            <w:szCs w:val="28"/>
          </w:rPr>
          <w:t>https://zakon.rada.gov.ua/laws/show/2465-20#Text</w:t>
        </w:r>
      </w:hyperlink>
      <w:r w:rsidRPr="00BB2E03">
        <w:rPr>
          <w:rFonts w:ascii="Times New Roman" w:hAnsi="Times New Roman" w:cs="Times New Roman"/>
          <w:sz w:val="28"/>
          <w:szCs w:val="28"/>
        </w:rPr>
        <w:t xml:space="preserve"> (дата звернення: 12.03.2026 р.).</w:t>
      </w:r>
    </w:p>
    <w:p w:rsidR="00F5682A" w:rsidRPr="00BB2E03" w:rsidRDefault="00F5682A" w:rsidP="00BB2E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682A" w:rsidRPr="00BB2E03" w:rsidSect="009F3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97D"/>
    <w:multiLevelType w:val="hybridMultilevel"/>
    <w:tmpl w:val="2342F9E2"/>
    <w:lvl w:ilvl="0" w:tplc="82F2EB9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2A4DA5"/>
    <w:multiLevelType w:val="multilevel"/>
    <w:tmpl w:val="D250D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6F16"/>
    <w:multiLevelType w:val="multilevel"/>
    <w:tmpl w:val="F124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920917"/>
    <w:multiLevelType w:val="multilevel"/>
    <w:tmpl w:val="B8A894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E896AB1"/>
    <w:multiLevelType w:val="multilevel"/>
    <w:tmpl w:val="F124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A2920"/>
    <w:multiLevelType w:val="hybridMultilevel"/>
    <w:tmpl w:val="340C3ACA"/>
    <w:lvl w:ilvl="0" w:tplc="A35C8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5682A"/>
    <w:rsid w:val="001000E6"/>
    <w:rsid w:val="002D50B2"/>
    <w:rsid w:val="004245A7"/>
    <w:rsid w:val="004A7AB6"/>
    <w:rsid w:val="00732E8D"/>
    <w:rsid w:val="00802DB2"/>
    <w:rsid w:val="009D3D17"/>
    <w:rsid w:val="009F3C78"/>
    <w:rsid w:val="00A131F6"/>
    <w:rsid w:val="00A207F0"/>
    <w:rsid w:val="00A97770"/>
    <w:rsid w:val="00BB2E03"/>
    <w:rsid w:val="00BE6BEE"/>
    <w:rsid w:val="00CD5192"/>
    <w:rsid w:val="00DB4A35"/>
    <w:rsid w:val="00F5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8"/>
  </w:style>
  <w:style w:type="paragraph" w:styleId="1">
    <w:name w:val="heading 1"/>
    <w:basedOn w:val="a"/>
    <w:next w:val="a"/>
    <w:link w:val="10"/>
    <w:uiPriority w:val="9"/>
    <w:qFormat/>
    <w:rsid w:val="00F5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8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8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8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8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682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5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d">
    <w:name w:val="Strong"/>
    <w:basedOn w:val="a0"/>
    <w:uiPriority w:val="22"/>
    <w:qFormat/>
    <w:rsid w:val="00F5682A"/>
    <w:rPr>
      <w:b/>
      <w:bCs/>
    </w:rPr>
  </w:style>
  <w:style w:type="character" w:styleId="ae">
    <w:name w:val="Hyperlink"/>
    <w:basedOn w:val="a0"/>
    <w:uiPriority w:val="99"/>
    <w:unhideWhenUsed/>
    <w:rsid w:val="00F5682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8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ndippp.gov.ua/bitstream/handle/765432198/6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75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942310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reme.court.gov.ua/userfiles/media/new_folder_for_uploads/supreme/ogliady/Oglyad_KGS_pravo_inform_audit.pdf" TargetMode="External"/><Relationship Id="rId10" Type="http://schemas.openxmlformats.org/officeDocument/2006/relationships/hyperlink" Target="https://zakon.rada.gov.ua/laws/show/2465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ur-gazeta.com/publications/practice/sudova-praktika/vidmoviti-ne-mozhna-nadati-dostup-do-informaciyi-dlya-kolishnih-uchasnikiv-tov-naslidki-sudovogo-p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4724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380507507900</dc:creator>
  <cp:lastModifiedBy>Lenovo</cp:lastModifiedBy>
  <cp:revision>28</cp:revision>
  <dcterms:created xsi:type="dcterms:W3CDTF">2026-04-03T13:48:00Z</dcterms:created>
  <dcterms:modified xsi:type="dcterms:W3CDTF">2026-04-06T10:52:00Z</dcterms:modified>
</cp:coreProperties>
</file>