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68793B" w14:textId="77777777" w:rsidR="00CE22B8" w:rsidRPr="00CE22B8" w:rsidRDefault="00CE22B8" w:rsidP="00CE22B8">
      <w:pPr>
        <w:pStyle w:val="1"/>
        <w:spacing w:line="240" w:lineRule="auto"/>
        <w:rPr>
          <w:bCs/>
        </w:rPr>
      </w:pPr>
      <w:bookmarkStart w:id="0" w:name="_Toc198089408"/>
      <w:r w:rsidRPr="00CE22B8">
        <w:rPr>
          <w:bCs/>
        </w:rPr>
        <w:t>МІНІСТЕРСТВО ОСВІТИ І НАУКИ УКРАЇНИ</w:t>
      </w:r>
    </w:p>
    <w:p w14:paraId="10FF8814" w14:textId="05B3255A" w:rsidR="00CE22B8" w:rsidRPr="00CE22B8" w:rsidRDefault="00CE22B8" w:rsidP="00CE22B8">
      <w:pPr>
        <w:pStyle w:val="1"/>
        <w:spacing w:line="240" w:lineRule="auto"/>
        <w:rPr>
          <w:bCs/>
          <w:lang w:val="uk-UA"/>
        </w:rPr>
      </w:pPr>
      <w:r w:rsidRPr="00CE22B8">
        <w:rPr>
          <w:bCs/>
          <w:lang w:val="uk-UA"/>
        </w:rPr>
        <w:t>Прикарпатський національний</w:t>
      </w:r>
      <w:r w:rsidRPr="00CE22B8">
        <w:rPr>
          <w:bCs/>
        </w:rPr>
        <w:t xml:space="preserve"> </w:t>
      </w:r>
      <w:r w:rsidRPr="00CE22B8">
        <w:rPr>
          <w:bCs/>
          <w:lang w:val="uk-UA"/>
        </w:rPr>
        <w:t>університет</w:t>
      </w:r>
      <w:r w:rsidRPr="00CE22B8">
        <w:rPr>
          <w:bCs/>
        </w:rPr>
        <w:t xml:space="preserve"> </w:t>
      </w:r>
      <w:r w:rsidRPr="00CE22B8">
        <w:rPr>
          <w:bCs/>
          <w:lang w:val="uk-UA"/>
        </w:rPr>
        <w:t>імені</w:t>
      </w:r>
      <w:r w:rsidRPr="00CE22B8">
        <w:rPr>
          <w:bCs/>
        </w:rPr>
        <w:t xml:space="preserve"> </w:t>
      </w:r>
      <w:r w:rsidRPr="00CE22B8">
        <w:rPr>
          <w:bCs/>
          <w:lang w:val="uk-UA"/>
        </w:rPr>
        <w:t>Василя</w:t>
      </w:r>
      <w:r w:rsidRPr="00CE22B8">
        <w:rPr>
          <w:bCs/>
        </w:rPr>
        <w:t xml:space="preserve"> </w:t>
      </w:r>
      <w:r w:rsidRPr="00CE22B8">
        <w:rPr>
          <w:bCs/>
          <w:lang w:val="uk-UA"/>
        </w:rPr>
        <w:t>Стефаника</w:t>
      </w:r>
    </w:p>
    <w:p w14:paraId="36143139" w14:textId="77777777" w:rsidR="00CE22B8" w:rsidRPr="00CE22B8" w:rsidRDefault="00CE22B8" w:rsidP="00CE22B8">
      <w:pPr>
        <w:pStyle w:val="1"/>
        <w:spacing w:line="240" w:lineRule="auto"/>
        <w:rPr>
          <w:bCs/>
          <w:lang w:val="uk-UA"/>
        </w:rPr>
      </w:pPr>
      <w:r w:rsidRPr="00CE22B8">
        <w:rPr>
          <w:bCs/>
          <w:lang w:val="uk-UA"/>
        </w:rPr>
        <w:t>Факультет історії, політології і міжнародних відносин</w:t>
      </w:r>
    </w:p>
    <w:p w14:paraId="3FB115E6" w14:textId="77777777" w:rsidR="00CE22B8" w:rsidRPr="00CE22B8" w:rsidRDefault="00CE22B8" w:rsidP="00CE22B8">
      <w:pPr>
        <w:pStyle w:val="1"/>
        <w:spacing w:line="240" w:lineRule="auto"/>
        <w:rPr>
          <w:bCs/>
          <w:lang w:val="uk-UA"/>
        </w:rPr>
      </w:pPr>
      <w:r w:rsidRPr="00CE22B8">
        <w:rPr>
          <w:bCs/>
          <w:lang w:val="uk-UA"/>
        </w:rPr>
        <w:t>Кафедра</w:t>
      </w:r>
      <w:r w:rsidRPr="00CE22B8">
        <w:rPr>
          <w:bCs/>
        </w:rPr>
        <w:t xml:space="preserve"> </w:t>
      </w:r>
      <w:r w:rsidRPr="00CE22B8">
        <w:rPr>
          <w:bCs/>
          <w:lang w:val="uk-UA"/>
        </w:rPr>
        <w:t>політичних</w:t>
      </w:r>
      <w:r w:rsidRPr="00CE22B8">
        <w:rPr>
          <w:bCs/>
        </w:rPr>
        <w:t xml:space="preserve"> </w:t>
      </w:r>
      <w:r w:rsidRPr="00CE22B8">
        <w:rPr>
          <w:bCs/>
          <w:lang w:val="uk-UA"/>
        </w:rPr>
        <w:t>наук</w:t>
      </w:r>
    </w:p>
    <w:p w14:paraId="07A1E942" w14:textId="77777777" w:rsidR="00CE22B8" w:rsidRPr="00CE22B8" w:rsidRDefault="00CE22B8" w:rsidP="00CE22B8">
      <w:pPr>
        <w:pStyle w:val="1"/>
        <w:rPr>
          <w:bCs/>
        </w:rPr>
      </w:pPr>
    </w:p>
    <w:p w14:paraId="697E2E24" w14:textId="77777777" w:rsidR="00CE22B8" w:rsidRPr="00CE22B8" w:rsidRDefault="00CE22B8" w:rsidP="00CE22B8">
      <w:pPr>
        <w:pStyle w:val="1"/>
        <w:rPr>
          <w:bCs/>
        </w:rPr>
      </w:pPr>
      <w:r w:rsidRPr="00CE22B8">
        <w:rPr>
          <w:bCs/>
        </w:rPr>
        <w:t>БАКАЛАВРСЬКА РОБОТА</w:t>
      </w:r>
    </w:p>
    <w:p w14:paraId="1CDD572E" w14:textId="77777777" w:rsidR="00CE22B8" w:rsidRDefault="00CE22B8" w:rsidP="00CE22B8">
      <w:pPr>
        <w:pStyle w:val="1"/>
        <w:rPr>
          <w:lang w:val="uk-UA"/>
        </w:rPr>
      </w:pPr>
      <w:r w:rsidRPr="00CE22B8">
        <w:rPr>
          <w:lang w:val="uk-UA"/>
        </w:rPr>
        <w:t>на</w:t>
      </w:r>
      <w:r w:rsidRPr="00CE22B8">
        <w:t xml:space="preserve"> </w:t>
      </w:r>
      <w:r w:rsidRPr="00CE22B8">
        <w:rPr>
          <w:lang w:val="uk-UA"/>
        </w:rPr>
        <w:t>тему</w:t>
      </w:r>
      <w:r w:rsidRPr="00CE22B8">
        <w:t>:</w:t>
      </w:r>
    </w:p>
    <w:p w14:paraId="422E1123" w14:textId="5A345795" w:rsidR="00CE22B8" w:rsidRPr="00CE22B8" w:rsidRDefault="00CE22B8" w:rsidP="00CE22B8">
      <w:pPr>
        <w:pStyle w:val="1"/>
        <w:rPr>
          <w:lang w:val="uk-UA"/>
        </w:rPr>
      </w:pPr>
      <w:r>
        <w:rPr>
          <w:lang w:val="uk-UA"/>
        </w:rPr>
        <w:t>Формування політики колективної безпеки ЄС в умовах російсько-української війни</w:t>
      </w:r>
    </w:p>
    <w:p w14:paraId="7C543BF6" w14:textId="0714C626" w:rsidR="00CE22B8" w:rsidRPr="00CE22B8" w:rsidRDefault="00CE22B8" w:rsidP="00CE22B8">
      <w:pPr>
        <w:pStyle w:val="1"/>
        <w:spacing w:line="240" w:lineRule="auto"/>
        <w:jc w:val="right"/>
        <w:rPr>
          <w:bCs/>
          <w:lang w:val="uk-UA"/>
        </w:rPr>
      </w:pPr>
      <w:r w:rsidRPr="00CE22B8">
        <w:rPr>
          <w:bCs/>
          <w:lang w:val="uk-UA"/>
        </w:rPr>
        <w:t>Викона</w:t>
      </w:r>
      <w:r>
        <w:rPr>
          <w:bCs/>
          <w:lang w:val="uk-UA"/>
        </w:rPr>
        <w:t>в</w:t>
      </w:r>
      <w:r w:rsidRPr="00CE22B8">
        <w:rPr>
          <w:bCs/>
        </w:rPr>
        <w:t xml:space="preserve"> </w:t>
      </w:r>
      <w:r w:rsidRPr="00CE22B8">
        <w:rPr>
          <w:bCs/>
          <w:lang w:val="uk-UA"/>
        </w:rPr>
        <w:t>студент</w:t>
      </w:r>
      <w:r w:rsidRPr="00CE22B8">
        <w:rPr>
          <w:bCs/>
        </w:rPr>
        <w:t xml:space="preserve">: 4 </w:t>
      </w:r>
      <w:r w:rsidRPr="00CE22B8">
        <w:rPr>
          <w:bCs/>
          <w:lang w:val="uk-UA"/>
        </w:rPr>
        <w:t>курсу</w:t>
      </w:r>
      <w:r w:rsidRPr="00CE22B8">
        <w:rPr>
          <w:bCs/>
        </w:rPr>
        <w:t xml:space="preserve"> </w:t>
      </w:r>
      <w:r w:rsidRPr="00CE22B8">
        <w:rPr>
          <w:bCs/>
          <w:lang w:val="uk-UA"/>
        </w:rPr>
        <w:t>групи</w:t>
      </w:r>
      <w:r w:rsidRPr="00CE22B8">
        <w:rPr>
          <w:bCs/>
        </w:rPr>
        <w:t xml:space="preserve"> П</w:t>
      </w:r>
      <w:r w:rsidRPr="00CE22B8">
        <w:rPr>
          <w:bCs/>
          <w:lang w:val="uk-UA"/>
        </w:rPr>
        <w:t>н</w:t>
      </w:r>
      <w:r w:rsidRPr="00CE22B8">
        <w:rPr>
          <w:bCs/>
        </w:rPr>
        <w:t>б-4</w:t>
      </w:r>
      <w:r>
        <w:rPr>
          <w:bCs/>
          <w:lang w:val="uk-UA"/>
        </w:rPr>
        <w:t>2</w:t>
      </w:r>
    </w:p>
    <w:p w14:paraId="468D3AD0" w14:textId="77777777" w:rsidR="00CE22B8" w:rsidRPr="00CE22B8" w:rsidRDefault="00CE22B8" w:rsidP="00CE22B8">
      <w:pPr>
        <w:pStyle w:val="1"/>
        <w:spacing w:line="240" w:lineRule="auto"/>
        <w:jc w:val="right"/>
        <w:rPr>
          <w:bCs/>
          <w:lang w:val="uk-UA"/>
        </w:rPr>
      </w:pPr>
      <w:r w:rsidRPr="00CE22B8">
        <w:rPr>
          <w:bCs/>
          <w:lang w:val="uk-UA"/>
        </w:rPr>
        <w:t>Спеціальність</w:t>
      </w:r>
      <w:r w:rsidRPr="00CE22B8">
        <w:rPr>
          <w:bCs/>
        </w:rPr>
        <w:t xml:space="preserve">: </w:t>
      </w:r>
      <w:r w:rsidRPr="00CE22B8">
        <w:rPr>
          <w:bCs/>
          <w:lang w:val="uk-UA"/>
        </w:rPr>
        <w:t>«</w:t>
      </w:r>
      <w:r w:rsidRPr="00CE22B8">
        <w:rPr>
          <w:bCs/>
        </w:rPr>
        <w:t xml:space="preserve">052 </w:t>
      </w:r>
      <w:r w:rsidRPr="00CE22B8">
        <w:rPr>
          <w:bCs/>
          <w:lang w:val="uk-UA"/>
        </w:rPr>
        <w:t>Політологія»</w:t>
      </w:r>
    </w:p>
    <w:p w14:paraId="026FCDED" w14:textId="2510DA5A" w:rsidR="00CE22B8" w:rsidRPr="00CE22B8" w:rsidRDefault="00CE22B8" w:rsidP="00CE22B8">
      <w:pPr>
        <w:pStyle w:val="1"/>
        <w:spacing w:line="240" w:lineRule="auto"/>
        <w:jc w:val="right"/>
        <w:rPr>
          <w:bCs/>
          <w:lang w:val="uk-UA"/>
        </w:rPr>
      </w:pPr>
      <w:proofErr w:type="spellStart"/>
      <w:r>
        <w:rPr>
          <w:bCs/>
          <w:lang w:val="uk-UA"/>
        </w:rPr>
        <w:t>Гораш</w:t>
      </w:r>
      <w:proofErr w:type="spellEnd"/>
      <w:r>
        <w:rPr>
          <w:bCs/>
          <w:lang w:val="uk-UA"/>
        </w:rPr>
        <w:t xml:space="preserve"> Іван Ігорович</w:t>
      </w:r>
    </w:p>
    <w:p w14:paraId="2EB8C4F8" w14:textId="77777777" w:rsidR="00CE22B8" w:rsidRDefault="00CE22B8" w:rsidP="00CE22B8">
      <w:pPr>
        <w:pStyle w:val="1"/>
        <w:spacing w:line="240" w:lineRule="auto"/>
        <w:jc w:val="right"/>
        <w:rPr>
          <w:bCs/>
          <w:lang w:val="uk-UA"/>
        </w:rPr>
      </w:pPr>
    </w:p>
    <w:p w14:paraId="163BADF4" w14:textId="00A756C7" w:rsidR="00CE22B8" w:rsidRPr="00CE22B8" w:rsidRDefault="00CE22B8" w:rsidP="00CE22B8">
      <w:pPr>
        <w:pStyle w:val="1"/>
        <w:spacing w:line="240" w:lineRule="auto"/>
        <w:jc w:val="right"/>
        <w:rPr>
          <w:bCs/>
        </w:rPr>
      </w:pPr>
      <w:r w:rsidRPr="00CE22B8">
        <w:rPr>
          <w:bCs/>
          <w:lang w:val="uk-UA"/>
        </w:rPr>
        <w:t>Науковий керівник</w:t>
      </w:r>
      <w:r w:rsidRPr="00CE22B8">
        <w:rPr>
          <w:bCs/>
        </w:rPr>
        <w:t>:</w:t>
      </w:r>
    </w:p>
    <w:p w14:paraId="0D532962" w14:textId="01692C2D" w:rsidR="00CE22B8" w:rsidRDefault="00CE22B8" w:rsidP="00CE22B8">
      <w:pPr>
        <w:pStyle w:val="1"/>
        <w:spacing w:line="240" w:lineRule="auto"/>
        <w:jc w:val="right"/>
        <w:rPr>
          <w:bCs/>
          <w:lang w:val="uk-UA"/>
        </w:rPr>
      </w:pPr>
      <w:r w:rsidRPr="00CE22B8">
        <w:rPr>
          <w:bCs/>
          <w:lang w:val="uk-UA"/>
        </w:rPr>
        <w:t>Москалюк</w:t>
      </w:r>
      <w:r w:rsidRPr="00CE22B8">
        <w:rPr>
          <w:bCs/>
        </w:rPr>
        <w:t xml:space="preserve"> </w:t>
      </w:r>
      <w:r w:rsidRPr="00CE22B8">
        <w:rPr>
          <w:bCs/>
          <w:lang w:val="uk-UA"/>
        </w:rPr>
        <w:t>Михайло</w:t>
      </w:r>
      <w:r w:rsidRPr="00CE22B8">
        <w:rPr>
          <w:bCs/>
        </w:rPr>
        <w:t xml:space="preserve"> </w:t>
      </w:r>
      <w:r w:rsidRPr="00CE22B8">
        <w:rPr>
          <w:bCs/>
          <w:lang w:val="uk-UA"/>
        </w:rPr>
        <w:t>Федорович</w:t>
      </w:r>
    </w:p>
    <w:p w14:paraId="6C83B8A5" w14:textId="77777777" w:rsidR="00CE22B8" w:rsidRDefault="00CE22B8" w:rsidP="00CE22B8">
      <w:pPr>
        <w:pStyle w:val="1"/>
        <w:jc w:val="right"/>
        <w:rPr>
          <w:bCs/>
          <w:lang w:val="uk-UA"/>
        </w:rPr>
      </w:pPr>
      <w:r w:rsidRPr="00CE22B8">
        <w:rPr>
          <w:bCs/>
          <w:lang w:val="uk-UA"/>
        </w:rPr>
        <w:t>Рецензенти</w:t>
      </w:r>
      <w:r w:rsidRPr="00CE22B8">
        <w:rPr>
          <w:bCs/>
        </w:rPr>
        <w:t>:</w:t>
      </w:r>
    </w:p>
    <w:p w14:paraId="0D39663B" w14:textId="77777777" w:rsidR="00CE22B8" w:rsidRDefault="00CE22B8" w:rsidP="00CE22B8">
      <w:pPr>
        <w:pStyle w:val="1"/>
        <w:spacing w:line="240" w:lineRule="auto"/>
        <w:jc w:val="right"/>
        <w:rPr>
          <w:lang w:val="uk-UA"/>
        </w:rPr>
      </w:pPr>
    </w:p>
    <w:p w14:paraId="5689B77A" w14:textId="129585C4" w:rsidR="00CE22B8" w:rsidRPr="00CE22B8" w:rsidRDefault="00CE22B8" w:rsidP="00CE22B8">
      <w:pPr>
        <w:pStyle w:val="1"/>
        <w:spacing w:line="240" w:lineRule="auto"/>
        <w:jc w:val="right"/>
        <w:rPr>
          <w:bCs/>
        </w:rPr>
      </w:pPr>
      <w:r w:rsidRPr="00CE22B8">
        <w:rPr>
          <w:lang w:val="uk-UA"/>
        </w:rPr>
        <w:t>Допущено до захисту</w:t>
      </w:r>
      <w:r w:rsidRPr="00CE22B8">
        <w:t>:</w:t>
      </w:r>
    </w:p>
    <w:p w14:paraId="3BDADD5E" w14:textId="6E13977C" w:rsidR="00CE22B8" w:rsidRPr="00CE22B8" w:rsidRDefault="00CE22B8" w:rsidP="00CE22B8">
      <w:pPr>
        <w:pStyle w:val="1"/>
        <w:spacing w:line="240" w:lineRule="auto"/>
        <w:jc w:val="right"/>
        <w:rPr>
          <w:lang w:val="uk-UA"/>
        </w:rPr>
      </w:pPr>
      <w:r w:rsidRPr="00CE22B8">
        <w:t>«____» _______________ 2025 р.</w:t>
      </w:r>
    </w:p>
    <w:p w14:paraId="6B6788B7" w14:textId="77777777" w:rsidR="00CE22B8" w:rsidRPr="00CE22B8" w:rsidRDefault="00CE22B8" w:rsidP="00CE22B8">
      <w:pPr>
        <w:pStyle w:val="1"/>
        <w:jc w:val="both"/>
        <w:rPr>
          <w:bCs/>
          <w:lang w:val="uk-UA"/>
        </w:rPr>
      </w:pPr>
    </w:p>
    <w:p w14:paraId="2703BA4E" w14:textId="5B47E338" w:rsidR="00A40E4A" w:rsidRPr="00CE22B8" w:rsidRDefault="00CE22B8" w:rsidP="00CE22B8">
      <w:pPr>
        <w:pStyle w:val="1"/>
        <w:rPr>
          <w:bCs/>
          <w:lang w:val="uk-UA"/>
        </w:rPr>
      </w:pPr>
      <w:r w:rsidRPr="00CE22B8">
        <w:rPr>
          <w:bCs/>
          <w:lang w:val="uk-UA"/>
        </w:rPr>
        <w:t>Івано-Франківськ-2025</w:t>
      </w:r>
    </w:p>
    <w:p w14:paraId="0B88B125" w14:textId="3000BA9C" w:rsidR="006533B3" w:rsidRPr="00701430" w:rsidRDefault="00AE5AAF" w:rsidP="006533B3">
      <w:pPr>
        <w:pStyle w:val="1"/>
        <w:rPr>
          <w:lang w:val="en-US"/>
        </w:rPr>
      </w:pPr>
      <w:r>
        <w:rPr>
          <w:lang w:val="uk-UA"/>
        </w:rPr>
        <w:lastRenderedPageBreak/>
        <w:t>ЗМІСТ</w:t>
      </w:r>
      <w:bookmarkEnd w:id="0"/>
    </w:p>
    <w:p w14:paraId="019A128D" w14:textId="7DCEB14A" w:rsidR="00701430" w:rsidRPr="00701430" w:rsidRDefault="00701430">
      <w:pPr>
        <w:pStyle w:val="11"/>
        <w:tabs>
          <w:tab w:val="right" w:leader="dot" w:pos="9628"/>
        </w:tabs>
        <w:rPr>
          <w:rFonts w:asciiTheme="minorHAnsi" w:eastAsiaTheme="minorEastAsia" w:hAnsiTheme="minorHAnsi"/>
          <w:noProof/>
          <w:kern w:val="2"/>
          <w:sz w:val="24"/>
          <w:szCs w:val="24"/>
          <w:lang w:val="en-US"/>
          <w14:ligatures w14:val="standardContextual"/>
        </w:rPr>
      </w:pPr>
      <w:r>
        <w:rPr>
          <w:lang w:val="uk-UA"/>
        </w:rPr>
        <w:fldChar w:fldCharType="begin"/>
      </w:r>
      <w:r>
        <w:rPr>
          <w:lang w:val="uk-UA"/>
        </w:rPr>
        <w:instrText xml:space="preserve"> TOC \o "1-3" \h \z \u </w:instrText>
      </w:r>
      <w:r>
        <w:rPr>
          <w:lang w:val="uk-UA"/>
        </w:rPr>
        <w:fldChar w:fldCharType="separate"/>
      </w:r>
    </w:p>
    <w:p w14:paraId="0EC664FF" w14:textId="169D2CB5" w:rsidR="00701430" w:rsidRPr="00701430" w:rsidRDefault="001B3CF0" w:rsidP="00701430">
      <w:pPr>
        <w:pStyle w:val="11"/>
        <w:tabs>
          <w:tab w:val="right" w:leader="dot" w:pos="9628"/>
        </w:tabs>
        <w:spacing w:after="0" w:line="240" w:lineRule="auto"/>
        <w:jc w:val="both"/>
        <w:rPr>
          <w:rFonts w:asciiTheme="minorHAnsi" w:eastAsiaTheme="minorEastAsia" w:hAnsiTheme="minorHAnsi"/>
          <w:b/>
          <w:bCs/>
          <w:noProof/>
          <w:kern w:val="2"/>
          <w:sz w:val="24"/>
          <w:szCs w:val="24"/>
          <w14:ligatures w14:val="standardContextual"/>
        </w:rPr>
      </w:pPr>
      <w:hyperlink w:anchor="_Toc198089409" w:history="1">
        <w:r w:rsidR="00701430" w:rsidRPr="00701430">
          <w:rPr>
            <w:rStyle w:val="a4"/>
            <w:b/>
            <w:bCs/>
            <w:noProof/>
          </w:rPr>
          <w:t>ВСТУП</w:t>
        </w:r>
        <w:r w:rsidR="00701430" w:rsidRPr="00701430">
          <w:rPr>
            <w:b/>
            <w:bCs/>
            <w:noProof/>
            <w:webHidden/>
          </w:rPr>
          <w:tab/>
        </w:r>
        <w:r w:rsidR="00701430" w:rsidRPr="00701430">
          <w:rPr>
            <w:b/>
            <w:bCs/>
            <w:noProof/>
            <w:webHidden/>
          </w:rPr>
          <w:fldChar w:fldCharType="begin"/>
        </w:r>
        <w:r w:rsidR="00701430" w:rsidRPr="00701430">
          <w:rPr>
            <w:b/>
            <w:bCs/>
            <w:noProof/>
            <w:webHidden/>
          </w:rPr>
          <w:instrText xml:space="preserve"> PAGEREF _Toc198089409 \h </w:instrText>
        </w:r>
        <w:r w:rsidR="00701430" w:rsidRPr="00701430">
          <w:rPr>
            <w:b/>
            <w:bCs/>
            <w:noProof/>
            <w:webHidden/>
          </w:rPr>
        </w:r>
        <w:r w:rsidR="00701430" w:rsidRPr="00701430">
          <w:rPr>
            <w:b/>
            <w:bCs/>
            <w:noProof/>
            <w:webHidden/>
          </w:rPr>
          <w:fldChar w:fldCharType="separate"/>
        </w:r>
        <w:r w:rsidR="00701430" w:rsidRPr="00701430">
          <w:rPr>
            <w:b/>
            <w:bCs/>
            <w:noProof/>
            <w:webHidden/>
          </w:rPr>
          <w:t>3</w:t>
        </w:r>
        <w:r w:rsidR="00701430" w:rsidRPr="00701430">
          <w:rPr>
            <w:b/>
            <w:bCs/>
            <w:noProof/>
            <w:webHidden/>
          </w:rPr>
          <w:fldChar w:fldCharType="end"/>
        </w:r>
      </w:hyperlink>
    </w:p>
    <w:p w14:paraId="6C1D3FD6" w14:textId="2C5AF783" w:rsidR="00701430" w:rsidRPr="00701430" w:rsidRDefault="001B3CF0" w:rsidP="00701430">
      <w:pPr>
        <w:pStyle w:val="11"/>
        <w:tabs>
          <w:tab w:val="right" w:leader="dot" w:pos="9628"/>
        </w:tabs>
        <w:spacing w:after="0" w:line="240" w:lineRule="auto"/>
        <w:jc w:val="both"/>
        <w:rPr>
          <w:rFonts w:asciiTheme="minorHAnsi" w:eastAsiaTheme="minorEastAsia" w:hAnsiTheme="minorHAnsi"/>
          <w:b/>
          <w:bCs/>
          <w:noProof/>
          <w:kern w:val="2"/>
          <w:sz w:val="24"/>
          <w:szCs w:val="24"/>
          <w14:ligatures w14:val="standardContextual"/>
        </w:rPr>
      </w:pPr>
      <w:hyperlink w:anchor="_Toc198089410" w:history="1">
        <w:r w:rsidR="00701430" w:rsidRPr="00701430">
          <w:rPr>
            <w:rStyle w:val="a4"/>
            <w:b/>
            <w:bCs/>
            <w:noProof/>
          </w:rPr>
          <w:t>РОЗДІЛ 1. КОНЦЕПТУАЛЬНІ ТА ІСТОРИЧНІ ЗАСАДИ ФОРМУВАННЯ ПОЛІТИКИ КОЛЕКТИВНОЇ БЕЗПЕКИ ЄС</w:t>
        </w:r>
        <w:r w:rsidR="00701430" w:rsidRPr="00701430">
          <w:rPr>
            <w:b/>
            <w:bCs/>
            <w:noProof/>
            <w:webHidden/>
          </w:rPr>
          <w:tab/>
        </w:r>
        <w:r w:rsidR="00701430" w:rsidRPr="00701430">
          <w:rPr>
            <w:b/>
            <w:bCs/>
            <w:noProof/>
            <w:webHidden/>
          </w:rPr>
          <w:fldChar w:fldCharType="begin"/>
        </w:r>
        <w:r w:rsidR="00701430" w:rsidRPr="00701430">
          <w:rPr>
            <w:b/>
            <w:bCs/>
            <w:noProof/>
            <w:webHidden/>
          </w:rPr>
          <w:instrText xml:space="preserve"> PAGEREF _Toc198089410 \h </w:instrText>
        </w:r>
        <w:r w:rsidR="00701430" w:rsidRPr="00701430">
          <w:rPr>
            <w:b/>
            <w:bCs/>
            <w:noProof/>
            <w:webHidden/>
          </w:rPr>
        </w:r>
        <w:r w:rsidR="00701430" w:rsidRPr="00701430">
          <w:rPr>
            <w:b/>
            <w:bCs/>
            <w:noProof/>
            <w:webHidden/>
          </w:rPr>
          <w:fldChar w:fldCharType="separate"/>
        </w:r>
        <w:r w:rsidR="00701430" w:rsidRPr="00701430">
          <w:rPr>
            <w:b/>
            <w:bCs/>
            <w:noProof/>
            <w:webHidden/>
          </w:rPr>
          <w:t>7</w:t>
        </w:r>
        <w:r w:rsidR="00701430" w:rsidRPr="00701430">
          <w:rPr>
            <w:b/>
            <w:bCs/>
            <w:noProof/>
            <w:webHidden/>
          </w:rPr>
          <w:fldChar w:fldCharType="end"/>
        </w:r>
      </w:hyperlink>
    </w:p>
    <w:p w14:paraId="3926D8BC" w14:textId="3B8E01AA" w:rsidR="00701430" w:rsidRDefault="001B3CF0" w:rsidP="00701430">
      <w:pPr>
        <w:pStyle w:val="21"/>
        <w:tabs>
          <w:tab w:val="right" w:leader="dot" w:pos="9628"/>
        </w:tabs>
        <w:spacing w:after="0" w:line="240" w:lineRule="auto"/>
        <w:jc w:val="both"/>
        <w:rPr>
          <w:rFonts w:asciiTheme="minorHAnsi" w:eastAsiaTheme="minorEastAsia" w:hAnsiTheme="minorHAnsi"/>
          <w:noProof/>
          <w:kern w:val="2"/>
          <w:sz w:val="24"/>
          <w:szCs w:val="24"/>
          <w14:ligatures w14:val="standardContextual"/>
        </w:rPr>
      </w:pPr>
      <w:hyperlink w:anchor="_Toc198089411" w:history="1">
        <w:r w:rsidR="00701430" w:rsidRPr="008F2E95">
          <w:rPr>
            <w:rStyle w:val="a4"/>
            <w:noProof/>
          </w:rPr>
          <w:t>1.1 Теоретико-методологічні аспекти колективної безпеки в європейському контексті</w:t>
        </w:r>
        <w:r w:rsidR="00701430">
          <w:rPr>
            <w:noProof/>
            <w:webHidden/>
          </w:rPr>
          <w:tab/>
        </w:r>
        <w:r w:rsidR="00701430">
          <w:rPr>
            <w:noProof/>
            <w:webHidden/>
          </w:rPr>
          <w:fldChar w:fldCharType="begin"/>
        </w:r>
        <w:r w:rsidR="00701430">
          <w:rPr>
            <w:noProof/>
            <w:webHidden/>
          </w:rPr>
          <w:instrText xml:space="preserve"> PAGEREF _Toc198089411 \h </w:instrText>
        </w:r>
        <w:r w:rsidR="00701430">
          <w:rPr>
            <w:noProof/>
            <w:webHidden/>
          </w:rPr>
        </w:r>
        <w:r w:rsidR="00701430">
          <w:rPr>
            <w:noProof/>
            <w:webHidden/>
          </w:rPr>
          <w:fldChar w:fldCharType="separate"/>
        </w:r>
        <w:r w:rsidR="00701430">
          <w:rPr>
            <w:noProof/>
            <w:webHidden/>
          </w:rPr>
          <w:t>7</w:t>
        </w:r>
        <w:r w:rsidR="00701430">
          <w:rPr>
            <w:noProof/>
            <w:webHidden/>
          </w:rPr>
          <w:fldChar w:fldCharType="end"/>
        </w:r>
      </w:hyperlink>
    </w:p>
    <w:p w14:paraId="22557A3E" w14:textId="7D6BB923" w:rsidR="00701430" w:rsidRDefault="001B3CF0" w:rsidP="00701430">
      <w:pPr>
        <w:pStyle w:val="21"/>
        <w:tabs>
          <w:tab w:val="right" w:leader="dot" w:pos="9628"/>
        </w:tabs>
        <w:spacing w:after="0" w:line="240" w:lineRule="auto"/>
        <w:jc w:val="both"/>
        <w:rPr>
          <w:rFonts w:asciiTheme="minorHAnsi" w:eastAsiaTheme="minorEastAsia" w:hAnsiTheme="minorHAnsi"/>
          <w:noProof/>
          <w:kern w:val="2"/>
          <w:sz w:val="24"/>
          <w:szCs w:val="24"/>
          <w14:ligatures w14:val="standardContextual"/>
        </w:rPr>
      </w:pPr>
      <w:hyperlink w:anchor="_Toc198089412" w:history="1">
        <w:r w:rsidR="00701430" w:rsidRPr="008F2E95">
          <w:rPr>
            <w:rStyle w:val="a4"/>
            <w:noProof/>
          </w:rPr>
          <w:t>1.2 Еволюція архітектури безпеки та оборони ЄС до початку повномасштабної російсько-української війни</w:t>
        </w:r>
        <w:r w:rsidR="00701430">
          <w:rPr>
            <w:noProof/>
            <w:webHidden/>
          </w:rPr>
          <w:tab/>
        </w:r>
        <w:r w:rsidR="00701430">
          <w:rPr>
            <w:noProof/>
            <w:webHidden/>
          </w:rPr>
          <w:fldChar w:fldCharType="begin"/>
        </w:r>
        <w:r w:rsidR="00701430">
          <w:rPr>
            <w:noProof/>
            <w:webHidden/>
          </w:rPr>
          <w:instrText xml:space="preserve"> PAGEREF _Toc198089412 \h </w:instrText>
        </w:r>
        <w:r w:rsidR="00701430">
          <w:rPr>
            <w:noProof/>
            <w:webHidden/>
          </w:rPr>
        </w:r>
        <w:r w:rsidR="00701430">
          <w:rPr>
            <w:noProof/>
            <w:webHidden/>
          </w:rPr>
          <w:fldChar w:fldCharType="separate"/>
        </w:r>
        <w:r w:rsidR="00701430">
          <w:rPr>
            <w:noProof/>
            <w:webHidden/>
          </w:rPr>
          <w:t>17</w:t>
        </w:r>
        <w:r w:rsidR="00701430">
          <w:rPr>
            <w:noProof/>
            <w:webHidden/>
          </w:rPr>
          <w:fldChar w:fldCharType="end"/>
        </w:r>
      </w:hyperlink>
    </w:p>
    <w:p w14:paraId="443F5D1D" w14:textId="3E2F8E61" w:rsidR="00701430" w:rsidRDefault="001B3CF0" w:rsidP="00701430">
      <w:pPr>
        <w:pStyle w:val="21"/>
        <w:tabs>
          <w:tab w:val="right" w:leader="dot" w:pos="9628"/>
        </w:tabs>
        <w:spacing w:after="0" w:line="240" w:lineRule="auto"/>
        <w:jc w:val="both"/>
        <w:rPr>
          <w:rFonts w:asciiTheme="minorHAnsi" w:eastAsiaTheme="minorEastAsia" w:hAnsiTheme="minorHAnsi"/>
          <w:noProof/>
          <w:kern w:val="2"/>
          <w:sz w:val="24"/>
          <w:szCs w:val="24"/>
          <w14:ligatures w14:val="standardContextual"/>
        </w:rPr>
      </w:pPr>
      <w:hyperlink w:anchor="_Toc198089413" w:history="1">
        <w:r w:rsidR="00701430" w:rsidRPr="008F2E95">
          <w:rPr>
            <w:rStyle w:val="a4"/>
            <w:noProof/>
          </w:rPr>
          <w:t>1.3 Інституційні механізми та нормативно-правові засади функціонування спільної безпекової та оборонної політики ЄС</w:t>
        </w:r>
        <w:r w:rsidR="00701430">
          <w:rPr>
            <w:noProof/>
            <w:webHidden/>
          </w:rPr>
          <w:tab/>
        </w:r>
        <w:r w:rsidR="00701430">
          <w:rPr>
            <w:noProof/>
            <w:webHidden/>
          </w:rPr>
          <w:fldChar w:fldCharType="begin"/>
        </w:r>
        <w:r w:rsidR="00701430">
          <w:rPr>
            <w:noProof/>
            <w:webHidden/>
          </w:rPr>
          <w:instrText xml:space="preserve"> PAGEREF _Toc198089413 \h </w:instrText>
        </w:r>
        <w:r w:rsidR="00701430">
          <w:rPr>
            <w:noProof/>
            <w:webHidden/>
          </w:rPr>
        </w:r>
        <w:r w:rsidR="00701430">
          <w:rPr>
            <w:noProof/>
            <w:webHidden/>
          </w:rPr>
          <w:fldChar w:fldCharType="separate"/>
        </w:r>
        <w:r w:rsidR="00701430">
          <w:rPr>
            <w:noProof/>
            <w:webHidden/>
          </w:rPr>
          <w:t>22</w:t>
        </w:r>
        <w:r w:rsidR="00701430">
          <w:rPr>
            <w:noProof/>
            <w:webHidden/>
          </w:rPr>
          <w:fldChar w:fldCharType="end"/>
        </w:r>
      </w:hyperlink>
    </w:p>
    <w:p w14:paraId="4DE3EB0A" w14:textId="62B9B0AC" w:rsidR="00701430" w:rsidRPr="00701430" w:rsidRDefault="001B3CF0" w:rsidP="00701430">
      <w:pPr>
        <w:pStyle w:val="11"/>
        <w:tabs>
          <w:tab w:val="right" w:leader="dot" w:pos="9628"/>
        </w:tabs>
        <w:spacing w:after="0" w:line="240" w:lineRule="auto"/>
        <w:jc w:val="both"/>
        <w:rPr>
          <w:rFonts w:asciiTheme="minorHAnsi" w:eastAsiaTheme="minorEastAsia" w:hAnsiTheme="minorHAnsi"/>
          <w:b/>
          <w:bCs/>
          <w:noProof/>
          <w:kern w:val="2"/>
          <w:sz w:val="24"/>
          <w:szCs w:val="24"/>
          <w14:ligatures w14:val="standardContextual"/>
        </w:rPr>
      </w:pPr>
      <w:hyperlink w:anchor="_Toc198089414" w:history="1">
        <w:r w:rsidR="00701430" w:rsidRPr="00701430">
          <w:rPr>
            <w:rStyle w:val="a4"/>
            <w:b/>
            <w:bCs/>
            <w:noProof/>
          </w:rPr>
          <w:t>РОЗДІЛ 2. ТРАНСФОРМАЦІЯ БЕЗПЕКОВОЇ ПОЛІТИКИ ЄС ПІСЛЯ ПОЧАТКУ ПОВНОМАСШТАБНОГО РОСІЙСЬКОГО ВТОРГНЕННЯ В УКРАЇНУ</w:t>
        </w:r>
        <w:r w:rsidR="00701430" w:rsidRPr="00701430">
          <w:rPr>
            <w:b/>
            <w:bCs/>
            <w:noProof/>
            <w:webHidden/>
          </w:rPr>
          <w:tab/>
        </w:r>
        <w:r w:rsidR="00701430" w:rsidRPr="00701430">
          <w:rPr>
            <w:b/>
            <w:bCs/>
            <w:noProof/>
            <w:webHidden/>
          </w:rPr>
          <w:fldChar w:fldCharType="begin"/>
        </w:r>
        <w:r w:rsidR="00701430" w:rsidRPr="00701430">
          <w:rPr>
            <w:b/>
            <w:bCs/>
            <w:noProof/>
            <w:webHidden/>
          </w:rPr>
          <w:instrText xml:space="preserve"> PAGEREF _Toc198089414 \h </w:instrText>
        </w:r>
        <w:r w:rsidR="00701430" w:rsidRPr="00701430">
          <w:rPr>
            <w:b/>
            <w:bCs/>
            <w:noProof/>
            <w:webHidden/>
          </w:rPr>
        </w:r>
        <w:r w:rsidR="00701430" w:rsidRPr="00701430">
          <w:rPr>
            <w:b/>
            <w:bCs/>
            <w:noProof/>
            <w:webHidden/>
          </w:rPr>
          <w:fldChar w:fldCharType="separate"/>
        </w:r>
        <w:r w:rsidR="00701430" w:rsidRPr="00701430">
          <w:rPr>
            <w:b/>
            <w:bCs/>
            <w:noProof/>
            <w:webHidden/>
          </w:rPr>
          <w:t>26</w:t>
        </w:r>
        <w:r w:rsidR="00701430" w:rsidRPr="00701430">
          <w:rPr>
            <w:b/>
            <w:bCs/>
            <w:noProof/>
            <w:webHidden/>
          </w:rPr>
          <w:fldChar w:fldCharType="end"/>
        </w:r>
      </w:hyperlink>
    </w:p>
    <w:p w14:paraId="3BBCBFBE" w14:textId="5939137B" w:rsidR="00701430" w:rsidRDefault="001B3CF0" w:rsidP="00701430">
      <w:pPr>
        <w:pStyle w:val="21"/>
        <w:tabs>
          <w:tab w:val="right" w:leader="dot" w:pos="9628"/>
        </w:tabs>
        <w:spacing w:after="0" w:line="240" w:lineRule="auto"/>
        <w:jc w:val="both"/>
        <w:rPr>
          <w:rFonts w:asciiTheme="minorHAnsi" w:eastAsiaTheme="minorEastAsia" w:hAnsiTheme="minorHAnsi"/>
          <w:noProof/>
          <w:kern w:val="2"/>
          <w:sz w:val="24"/>
          <w:szCs w:val="24"/>
          <w14:ligatures w14:val="standardContextual"/>
        </w:rPr>
      </w:pPr>
      <w:hyperlink w:anchor="_Toc198089415" w:history="1">
        <w:r w:rsidR="00701430" w:rsidRPr="008F2E95">
          <w:rPr>
            <w:rStyle w:val="a4"/>
            <w:noProof/>
          </w:rPr>
          <w:t>2.1 Переосмислення стратегічних підходів та безпекових парадигм ЄС у контексті російської агресії</w:t>
        </w:r>
        <w:r w:rsidR="00701430">
          <w:rPr>
            <w:noProof/>
            <w:webHidden/>
          </w:rPr>
          <w:tab/>
        </w:r>
        <w:r w:rsidR="00701430">
          <w:rPr>
            <w:noProof/>
            <w:webHidden/>
          </w:rPr>
          <w:fldChar w:fldCharType="begin"/>
        </w:r>
        <w:r w:rsidR="00701430">
          <w:rPr>
            <w:noProof/>
            <w:webHidden/>
          </w:rPr>
          <w:instrText xml:space="preserve"> PAGEREF _Toc198089415 \h </w:instrText>
        </w:r>
        <w:r w:rsidR="00701430">
          <w:rPr>
            <w:noProof/>
            <w:webHidden/>
          </w:rPr>
        </w:r>
        <w:r w:rsidR="00701430">
          <w:rPr>
            <w:noProof/>
            <w:webHidden/>
          </w:rPr>
          <w:fldChar w:fldCharType="separate"/>
        </w:r>
        <w:r w:rsidR="00701430">
          <w:rPr>
            <w:noProof/>
            <w:webHidden/>
          </w:rPr>
          <w:t>26</w:t>
        </w:r>
        <w:r w:rsidR="00701430">
          <w:rPr>
            <w:noProof/>
            <w:webHidden/>
          </w:rPr>
          <w:fldChar w:fldCharType="end"/>
        </w:r>
      </w:hyperlink>
    </w:p>
    <w:p w14:paraId="53149F15" w14:textId="622B3625" w:rsidR="00701430" w:rsidRDefault="001B3CF0" w:rsidP="00701430">
      <w:pPr>
        <w:pStyle w:val="21"/>
        <w:tabs>
          <w:tab w:val="right" w:leader="dot" w:pos="9628"/>
        </w:tabs>
        <w:spacing w:after="0" w:line="240" w:lineRule="auto"/>
        <w:jc w:val="both"/>
        <w:rPr>
          <w:rFonts w:asciiTheme="minorHAnsi" w:eastAsiaTheme="minorEastAsia" w:hAnsiTheme="minorHAnsi"/>
          <w:noProof/>
          <w:kern w:val="2"/>
          <w:sz w:val="24"/>
          <w:szCs w:val="24"/>
          <w14:ligatures w14:val="standardContextual"/>
        </w:rPr>
      </w:pPr>
      <w:hyperlink w:anchor="_Toc198089416" w:history="1">
        <w:r w:rsidR="00701430" w:rsidRPr="008F2E95">
          <w:rPr>
            <w:rStyle w:val="a4"/>
            <w:noProof/>
          </w:rPr>
          <w:t>2.2 Інтенсифікація військово-технічного співробітництва та динаміка оборонних бюджетів держав-членів ЄС</w:t>
        </w:r>
        <w:r w:rsidR="00701430">
          <w:rPr>
            <w:noProof/>
            <w:webHidden/>
          </w:rPr>
          <w:tab/>
        </w:r>
        <w:r w:rsidR="00701430">
          <w:rPr>
            <w:noProof/>
            <w:webHidden/>
          </w:rPr>
          <w:fldChar w:fldCharType="begin"/>
        </w:r>
        <w:r w:rsidR="00701430">
          <w:rPr>
            <w:noProof/>
            <w:webHidden/>
          </w:rPr>
          <w:instrText xml:space="preserve"> PAGEREF _Toc198089416 \h </w:instrText>
        </w:r>
        <w:r w:rsidR="00701430">
          <w:rPr>
            <w:noProof/>
            <w:webHidden/>
          </w:rPr>
        </w:r>
        <w:r w:rsidR="00701430">
          <w:rPr>
            <w:noProof/>
            <w:webHidden/>
          </w:rPr>
          <w:fldChar w:fldCharType="separate"/>
        </w:r>
        <w:r w:rsidR="00701430">
          <w:rPr>
            <w:noProof/>
            <w:webHidden/>
          </w:rPr>
          <w:t>31</w:t>
        </w:r>
        <w:r w:rsidR="00701430">
          <w:rPr>
            <w:noProof/>
            <w:webHidden/>
          </w:rPr>
          <w:fldChar w:fldCharType="end"/>
        </w:r>
      </w:hyperlink>
    </w:p>
    <w:p w14:paraId="5927D845" w14:textId="3BC27492" w:rsidR="00701430" w:rsidRDefault="001B3CF0" w:rsidP="00701430">
      <w:pPr>
        <w:pStyle w:val="21"/>
        <w:tabs>
          <w:tab w:val="right" w:leader="dot" w:pos="9628"/>
        </w:tabs>
        <w:spacing w:after="0" w:line="240" w:lineRule="auto"/>
        <w:jc w:val="both"/>
        <w:rPr>
          <w:rFonts w:asciiTheme="minorHAnsi" w:eastAsiaTheme="minorEastAsia" w:hAnsiTheme="minorHAnsi"/>
          <w:noProof/>
          <w:kern w:val="2"/>
          <w:sz w:val="24"/>
          <w:szCs w:val="24"/>
          <w14:ligatures w14:val="standardContextual"/>
        </w:rPr>
      </w:pPr>
      <w:hyperlink w:anchor="_Toc198089417" w:history="1">
        <w:r w:rsidR="00701430" w:rsidRPr="008F2E95">
          <w:rPr>
            <w:rStyle w:val="a4"/>
            <w:noProof/>
          </w:rPr>
          <w:t>2.3 Формування нових інституційних механізмів колективної безпеки ЄС в умовах російської агресії</w:t>
        </w:r>
        <w:r w:rsidR="00701430">
          <w:rPr>
            <w:noProof/>
            <w:webHidden/>
          </w:rPr>
          <w:tab/>
        </w:r>
        <w:r w:rsidR="00701430">
          <w:rPr>
            <w:noProof/>
            <w:webHidden/>
          </w:rPr>
          <w:fldChar w:fldCharType="begin"/>
        </w:r>
        <w:r w:rsidR="00701430">
          <w:rPr>
            <w:noProof/>
            <w:webHidden/>
          </w:rPr>
          <w:instrText xml:space="preserve"> PAGEREF _Toc198089417 \h </w:instrText>
        </w:r>
        <w:r w:rsidR="00701430">
          <w:rPr>
            <w:noProof/>
            <w:webHidden/>
          </w:rPr>
        </w:r>
        <w:r w:rsidR="00701430">
          <w:rPr>
            <w:noProof/>
            <w:webHidden/>
          </w:rPr>
          <w:fldChar w:fldCharType="separate"/>
        </w:r>
        <w:r w:rsidR="00701430">
          <w:rPr>
            <w:noProof/>
            <w:webHidden/>
          </w:rPr>
          <w:t>36</w:t>
        </w:r>
        <w:r w:rsidR="00701430">
          <w:rPr>
            <w:noProof/>
            <w:webHidden/>
          </w:rPr>
          <w:fldChar w:fldCharType="end"/>
        </w:r>
      </w:hyperlink>
    </w:p>
    <w:p w14:paraId="68A0C1A1" w14:textId="64284227" w:rsidR="00701430" w:rsidRPr="00701430" w:rsidRDefault="001B3CF0" w:rsidP="00701430">
      <w:pPr>
        <w:pStyle w:val="11"/>
        <w:tabs>
          <w:tab w:val="right" w:leader="dot" w:pos="9628"/>
        </w:tabs>
        <w:spacing w:after="0" w:line="240" w:lineRule="auto"/>
        <w:jc w:val="both"/>
        <w:rPr>
          <w:rFonts w:asciiTheme="minorHAnsi" w:eastAsiaTheme="minorEastAsia" w:hAnsiTheme="minorHAnsi"/>
          <w:b/>
          <w:bCs/>
          <w:noProof/>
          <w:kern w:val="2"/>
          <w:sz w:val="24"/>
          <w:szCs w:val="24"/>
          <w14:ligatures w14:val="standardContextual"/>
        </w:rPr>
      </w:pPr>
      <w:hyperlink w:anchor="_Toc198089418" w:history="1">
        <w:r w:rsidR="00701430" w:rsidRPr="00701430">
          <w:rPr>
            <w:rStyle w:val="a4"/>
            <w:b/>
            <w:bCs/>
            <w:noProof/>
          </w:rPr>
          <w:t>РОЗДІЛ 3. ІМПЛЕМЕНТАЦІЯ ТА СТРАТЕГІЧНІ ПЕРСПЕКТИВИ РОЗВИТКУ ПОЛІТИКИ КОЛЕКТИВНОЇ БЕЗПЕКИ ЄС</w:t>
        </w:r>
        <w:r w:rsidR="00701430" w:rsidRPr="00701430">
          <w:rPr>
            <w:b/>
            <w:bCs/>
            <w:noProof/>
            <w:webHidden/>
          </w:rPr>
          <w:tab/>
        </w:r>
        <w:r w:rsidR="00701430" w:rsidRPr="00701430">
          <w:rPr>
            <w:b/>
            <w:bCs/>
            <w:noProof/>
            <w:webHidden/>
          </w:rPr>
          <w:fldChar w:fldCharType="begin"/>
        </w:r>
        <w:r w:rsidR="00701430" w:rsidRPr="00701430">
          <w:rPr>
            <w:b/>
            <w:bCs/>
            <w:noProof/>
            <w:webHidden/>
          </w:rPr>
          <w:instrText xml:space="preserve"> PAGEREF _Toc198089418 \h </w:instrText>
        </w:r>
        <w:r w:rsidR="00701430" w:rsidRPr="00701430">
          <w:rPr>
            <w:b/>
            <w:bCs/>
            <w:noProof/>
            <w:webHidden/>
          </w:rPr>
        </w:r>
        <w:r w:rsidR="00701430" w:rsidRPr="00701430">
          <w:rPr>
            <w:b/>
            <w:bCs/>
            <w:noProof/>
            <w:webHidden/>
          </w:rPr>
          <w:fldChar w:fldCharType="separate"/>
        </w:r>
        <w:r w:rsidR="00701430" w:rsidRPr="00701430">
          <w:rPr>
            <w:b/>
            <w:bCs/>
            <w:noProof/>
            <w:webHidden/>
          </w:rPr>
          <w:t>43</w:t>
        </w:r>
        <w:r w:rsidR="00701430" w:rsidRPr="00701430">
          <w:rPr>
            <w:b/>
            <w:bCs/>
            <w:noProof/>
            <w:webHidden/>
          </w:rPr>
          <w:fldChar w:fldCharType="end"/>
        </w:r>
      </w:hyperlink>
    </w:p>
    <w:p w14:paraId="7A313346" w14:textId="58C4879D" w:rsidR="00701430" w:rsidRDefault="001B3CF0" w:rsidP="00701430">
      <w:pPr>
        <w:pStyle w:val="21"/>
        <w:tabs>
          <w:tab w:val="right" w:leader="dot" w:pos="9628"/>
        </w:tabs>
        <w:spacing w:after="0" w:line="240" w:lineRule="auto"/>
        <w:jc w:val="both"/>
        <w:rPr>
          <w:rFonts w:asciiTheme="minorHAnsi" w:eastAsiaTheme="minorEastAsia" w:hAnsiTheme="minorHAnsi"/>
          <w:noProof/>
          <w:kern w:val="2"/>
          <w:sz w:val="24"/>
          <w:szCs w:val="24"/>
          <w14:ligatures w14:val="standardContextual"/>
        </w:rPr>
      </w:pPr>
      <w:hyperlink w:anchor="_Toc198089419" w:history="1">
        <w:r w:rsidR="00701430" w:rsidRPr="008F2E95">
          <w:rPr>
            <w:rStyle w:val="a4"/>
            <w:noProof/>
          </w:rPr>
          <w:t>3.1 Диверсифікація підходів держав-членів ЄС до посилення колективної безпеки в умовах російської агресії</w:t>
        </w:r>
        <w:r w:rsidR="00701430">
          <w:rPr>
            <w:noProof/>
            <w:webHidden/>
          </w:rPr>
          <w:tab/>
        </w:r>
        <w:r w:rsidR="00701430">
          <w:rPr>
            <w:noProof/>
            <w:webHidden/>
          </w:rPr>
          <w:fldChar w:fldCharType="begin"/>
        </w:r>
        <w:r w:rsidR="00701430">
          <w:rPr>
            <w:noProof/>
            <w:webHidden/>
          </w:rPr>
          <w:instrText xml:space="preserve"> PAGEREF _Toc198089419 \h </w:instrText>
        </w:r>
        <w:r w:rsidR="00701430">
          <w:rPr>
            <w:noProof/>
            <w:webHidden/>
          </w:rPr>
        </w:r>
        <w:r w:rsidR="00701430">
          <w:rPr>
            <w:noProof/>
            <w:webHidden/>
          </w:rPr>
          <w:fldChar w:fldCharType="separate"/>
        </w:r>
        <w:r w:rsidR="00701430">
          <w:rPr>
            <w:noProof/>
            <w:webHidden/>
          </w:rPr>
          <w:t>43</w:t>
        </w:r>
        <w:r w:rsidR="00701430">
          <w:rPr>
            <w:noProof/>
            <w:webHidden/>
          </w:rPr>
          <w:fldChar w:fldCharType="end"/>
        </w:r>
      </w:hyperlink>
    </w:p>
    <w:p w14:paraId="4C88F2F3" w14:textId="45F919EC" w:rsidR="00701430" w:rsidRDefault="001B3CF0" w:rsidP="00701430">
      <w:pPr>
        <w:pStyle w:val="21"/>
        <w:tabs>
          <w:tab w:val="right" w:leader="dot" w:pos="9628"/>
        </w:tabs>
        <w:spacing w:after="0" w:line="240" w:lineRule="auto"/>
        <w:jc w:val="both"/>
        <w:rPr>
          <w:rFonts w:asciiTheme="minorHAnsi" w:eastAsiaTheme="minorEastAsia" w:hAnsiTheme="minorHAnsi"/>
          <w:noProof/>
          <w:kern w:val="2"/>
          <w:sz w:val="24"/>
          <w:szCs w:val="24"/>
          <w14:ligatures w14:val="standardContextual"/>
        </w:rPr>
      </w:pPr>
      <w:hyperlink w:anchor="_Toc198089420" w:history="1">
        <w:r w:rsidR="00701430" w:rsidRPr="008F2E95">
          <w:rPr>
            <w:rStyle w:val="a4"/>
            <w:noProof/>
          </w:rPr>
          <w:t>3.2 Перспективи розвитку оборонного потенціалу ЄС та трансформації безпекового середовища</w:t>
        </w:r>
        <w:r w:rsidR="00701430">
          <w:rPr>
            <w:noProof/>
            <w:webHidden/>
          </w:rPr>
          <w:tab/>
        </w:r>
        <w:r w:rsidR="00701430">
          <w:rPr>
            <w:noProof/>
            <w:webHidden/>
          </w:rPr>
          <w:fldChar w:fldCharType="begin"/>
        </w:r>
        <w:r w:rsidR="00701430">
          <w:rPr>
            <w:noProof/>
            <w:webHidden/>
          </w:rPr>
          <w:instrText xml:space="preserve"> PAGEREF _Toc198089420 \h </w:instrText>
        </w:r>
        <w:r w:rsidR="00701430">
          <w:rPr>
            <w:noProof/>
            <w:webHidden/>
          </w:rPr>
        </w:r>
        <w:r w:rsidR="00701430">
          <w:rPr>
            <w:noProof/>
            <w:webHidden/>
          </w:rPr>
          <w:fldChar w:fldCharType="separate"/>
        </w:r>
        <w:r w:rsidR="00701430">
          <w:rPr>
            <w:noProof/>
            <w:webHidden/>
          </w:rPr>
          <w:t>51</w:t>
        </w:r>
        <w:r w:rsidR="00701430">
          <w:rPr>
            <w:noProof/>
            <w:webHidden/>
          </w:rPr>
          <w:fldChar w:fldCharType="end"/>
        </w:r>
      </w:hyperlink>
    </w:p>
    <w:p w14:paraId="3CDD2B1F" w14:textId="4F4A791B" w:rsidR="00701430" w:rsidRPr="00701430" w:rsidRDefault="001B3CF0" w:rsidP="00701430">
      <w:pPr>
        <w:pStyle w:val="11"/>
        <w:tabs>
          <w:tab w:val="right" w:leader="dot" w:pos="9628"/>
        </w:tabs>
        <w:spacing w:after="0" w:line="240" w:lineRule="auto"/>
        <w:jc w:val="both"/>
        <w:rPr>
          <w:rFonts w:asciiTheme="minorHAnsi" w:eastAsiaTheme="minorEastAsia" w:hAnsiTheme="minorHAnsi"/>
          <w:b/>
          <w:bCs/>
          <w:noProof/>
          <w:kern w:val="2"/>
          <w:sz w:val="24"/>
          <w:szCs w:val="24"/>
          <w14:ligatures w14:val="standardContextual"/>
        </w:rPr>
      </w:pPr>
      <w:hyperlink w:anchor="_Toc198089421" w:history="1">
        <w:r w:rsidR="00701430" w:rsidRPr="00701430">
          <w:rPr>
            <w:rStyle w:val="a4"/>
            <w:b/>
            <w:bCs/>
            <w:noProof/>
          </w:rPr>
          <w:t>ВИСНОВКИ</w:t>
        </w:r>
        <w:r w:rsidR="00701430" w:rsidRPr="00701430">
          <w:rPr>
            <w:b/>
            <w:bCs/>
            <w:noProof/>
            <w:webHidden/>
          </w:rPr>
          <w:tab/>
        </w:r>
        <w:r w:rsidR="00701430" w:rsidRPr="00701430">
          <w:rPr>
            <w:b/>
            <w:bCs/>
            <w:noProof/>
            <w:webHidden/>
          </w:rPr>
          <w:fldChar w:fldCharType="begin"/>
        </w:r>
        <w:r w:rsidR="00701430" w:rsidRPr="00701430">
          <w:rPr>
            <w:b/>
            <w:bCs/>
            <w:noProof/>
            <w:webHidden/>
          </w:rPr>
          <w:instrText xml:space="preserve"> PAGEREF _Toc198089421 \h </w:instrText>
        </w:r>
        <w:r w:rsidR="00701430" w:rsidRPr="00701430">
          <w:rPr>
            <w:b/>
            <w:bCs/>
            <w:noProof/>
            <w:webHidden/>
          </w:rPr>
        </w:r>
        <w:r w:rsidR="00701430" w:rsidRPr="00701430">
          <w:rPr>
            <w:b/>
            <w:bCs/>
            <w:noProof/>
            <w:webHidden/>
          </w:rPr>
          <w:fldChar w:fldCharType="separate"/>
        </w:r>
        <w:r w:rsidR="00701430" w:rsidRPr="00701430">
          <w:rPr>
            <w:b/>
            <w:bCs/>
            <w:noProof/>
            <w:webHidden/>
          </w:rPr>
          <w:t>58</w:t>
        </w:r>
        <w:r w:rsidR="00701430" w:rsidRPr="00701430">
          <w:rPr>
            <w:b/>
            <w:bCs/>
            <w:noProof/>
            <w:webHidden/>
          </w:rPr>
          <w:fldChar w:fldCharType="end"/>
        </w:r>
      </w:hyperlink>
    </w:p>
    <w:p w14:paraId="0BCC0BBF" w14:textId="1E29724F" w:rsidR="00701430" w:rsidRPr="00701430" w:rsidRDefault="001B3CF0" w:rsidP="00701430">
      <w:pPr>
        <w:pStyle w:val="11"/>
        <w:tabs>
          <w:tab w:val="right" w:leader="dot" w:pos="9628"/>
        </w:tabs>
        <w:spacing w:after="0" w:line="240" w:lineRule="auto"/>
        <w:jc w:val="both"/>
        <w:rPr>
          <w:rFonts w:asciiTheme="minorHAnsi" w:eastAsiaTheme="minorEastAsia" w:hAnsiTheme="minorHAnsi"/>
          <w:b/>
          <w:bCs/>
          <w:noProof/>
          <w:kern w:val="2"/>
          <w:sz w:val="24"/>
          <w:szCs w:val="24"/>
          <w14:ligatures w14:val="standardContextual"/>
        </w:rPr>
      </w:pPr>
      <w:hyperlink w:anchor="_Toc198089422" w:history="1">
        <w:r w:rsidR="00701430" w:rsidRPr="00701430">
          <w:rPr>
            <w:rStyle w:val="a4"/>
            <w:b/>
            <w:bCs/>
            <w:noProof/>
            <w:lang w:val="uk-UA"/>
          </w:rPr>
          <w:t>СПИСОК ВИКОРИСТАНИХ ДЖЕРЕЛ</w:t>
        </w:r>
        <w:r w:rsidR="00701430" w:rsidRPr="00701430">
          <w:rPr>
            <w:b/>
            <w:bCs/>
            <w:noProof/>
            <w:webHidden/>
          </w:rPr>
          <w:tab/>
        </w:r>
        <w:r w:rsidR="00701430" w:rsidRPr="00701430">
          <w:rPr>
            <w:b/>
            <w:bCs/>
            <w:noProof/>
            <w:webHidden/>
          </w:rPr>
          <w:fldChar w:fldCharType="begin"/>
        </w:r>
        <w:r w:rsidR="00701430" w:rsidRPr="00701430">
          <w:rPr>
            <w:b/>
            <w:bCs/>
            <w:noProof/>
            <w:webHidden/>
          </w:rPr>
          <w:instrText xml:space="preserve"> PAGEREF _Toc198089422 \h </w:instrText>
        </w:r>
        <w:r w:rsidR="00701430" w:rsidRPr="00701430">
          <w:rPr>
            <w:b/>
            <w:bCs/>
            <w:noProof/>
            <w:webHidden/>
          </w:rPr>
        </w:r>
        <w:r w:rsidR="00701430" w:rsidRPr="00701430">
          <w:rPr>
            <w:b/>
            <w:bCs/>
            <w:noProof/>
            <w:webHidden/>
          </w:rPr>
          <w:fldChar w:fldCharType="separate"/>
        </w:r>
        <w:r w:rsidR="00701430" w:rsidRPr="00701430">
          <w:rPr>
            <w:b/>
            <w:bCs/>
            <w:noProof/>
            <w:webHidden/>
          </w:rPr>
          <w:t>62</w:t>
        </w:r>
        <w:r w:rsidR="00701430" w:rsidRPr="00701430">
          <w:rPr>
            <w:b/>
            <w:bCs/>
            <w:noProof/>
            <w:webHidden/>
          </w:rPr>
          <w:fldChar w:fldCharType="end"/>
        </w:r>
      </w:hyperlink>
    </w:p>
    <w:p w14:paraId="06D55D1D" w14:textId="2DEB5CCE" w:rsidR="00AE5AAF" w:rsidRPr="00AE5AAF" w:rsidRDefault="00701430" w:rsidP="00AE5AAF">
      <w:pPr>
        <w:jc w:val="both"/>
        <w:rPr>
          <w:lang w:val="uk-UA"/>
        </w:rPr>
      </w:pPr>
      <w:r>
        <w:rPr>
          <w:lang w:val="uk-UA"/>
        </w:rPr>
        <w:fldChar w:fldCharType="end"/>
      </w:r>
    </w:p>
    <w:p w14:paraId="3A0F629B" w14:textId="77777777" w:rsidR="006533B3" w:rsidRDefault="006533B3" w:rsidP="006533B3">
      <w:pPr>
        <w:rPr>
          <w:lang w:val="uk-UA"/>
        </w:rPr>
      </w:pPr>
    </w:p>
    <w:p w14:paraId="61827A40" w14:textId="77777777" w:rsidR="006533B3" w:rsidRDefault="006533B3" w:rsidP="006533B3">
      <w:pPr>
        <w:rPr>
          <w:lang w:val="uk-UA"/>
        </w:rPr>
      </w:pPr>
    </w:p>
    <w:p w14:paraId="34247120" w14:textId="77777777" w:rsidR="006533B3" w:rsidRDefault="006533B3" w:rsidP="006533B3">
      <w:pPr>
        <w:rPr>
          <w:lang w:val="uk-UA"/>
        </w:rPr>
      </w:pPr>
    </w:p>
    <w:p w14:paraId="371D84BF" w14:textId="77777777" w:rsidR="006533B3" w:rsidRDefault="006533B3" w:rsidP="006533B3">
      <w:pPr>
        <w:rPr>
          <w:lang w:val="uk-UA"/>
        </w:rPr>
      </w:pPr>
    </w:p>
    <w:p w14:paraId="2D1C22FC" w14:textId="77777777" w:rsidR="006533B3" w:rsidRDefault="006533B3" w:rsidP="006533B3">
      <w:pPr>
        <w:rPr>
          <w:lang w:val="uk-UA"/>
        </w:rPr>
      </w:pPr>
    </w:p>
    <w:p w14:paraId="0E033962" w14:textId="77777777" w:rsidR="006533B3" w:rsidRDefault="006533B3" w:rsidP="006533B3">
      <w:pPr>
        <w:rPr>
          <w:lang w:val="uk-UA"/>
        </w:rPr>
      </w:pPr>
    </w:p>
    <w:p w14:paraId="7068055F" w14:textId="77777777" w:rsidR="006533B3" w:rsidRDefault="006533B3" w:rsidP="006533B3">
      <w:pPr>
        <w:rPr>
          <w:lang w:val="uk-UA"/>
        </w:rPr>
      </w:pPr>
    </w:p>
    <w:p w14:paraId="44247BC0" w14:textId="77777777" w:rsidR="006533B3" w:rsidRDefault="006533B3" w:rsidP="006533B3">
      <w:pPr>
        <w:rPr>
          <w:lang w:val="uk-UA"/>
        </w:rPr>
      </w:pPr>
    </w:p>
    <w:p w14:paraId="5D8BCECA" w14:textId="77777777" w:rsidR="006533B3" w:rsidRDefault="006533B3" w:rsidP="006533B3">
      <w:pPr>
        <w:rPr>
          <w:lang w:val="uk-UA"/>
        </w:rPr>
      </w:pPr>
    </w:p>
    <w:p w14:paraId="3FF11A67" w14:textId="509BFEBE" w:rsidR="006533B3" w:rsidRPr="00CE22B8" w:rsidRDefault="006533B3" w:rsidP="006533B3">
      <w:pPr>
        <w:pStyle w:val="1"/>
        <w:rPr>
          <w:lang w:val="uk-UA"/>
        </w:rPr>
      </w:pPr>
      <w:bookmarkStart w:id="1" w:name="_Toc198089409"/>
      <w:r w:rsidRPr="00CE22B8">
        <w:rPr>
          <w:lang w:val="uk-UA"/>
        </w:rPr>
        <w:lastRenderedPageBreak/>
        <w:t>ВСТУП</w:t>
      </w:r>
      <w:bookmarkEnd w:id="1"/>
    </w:p>
    <w:p w14:paraId="1F8EB950" w14:textId="77777777" w:rsidR="006533B3" w:rsidRPr="00CE22B8" w:rsidRDefault="006533B3" w:rsidP="006533B3">
      <w:pPr>
        <w:pStyle w:val="whitespace-normal"/>
        <w:spacing w:before="0" w:beforeAutospacing="0" w:after="0" w:afterAutospacing="0" w:line="360" w:lineRule="auto"/>
        <w:ind w:firstLine="709"/>
        <w:jc w:val="both"/>
        <w:rPr>
          <w:sz w:val="28"/>
          <w:szCs w:val="28"/>
          <w:lang w:val="uk-UA"/>
        </w:rPr>
      </w:pPr>
      <w:r w:rsidRPr="00CE22B8">
        <w:rPr>
          <w:sz w:val="28"/>
          <w:szCs w:val="28"/>
          <w:lang w:val="uk-UA"/>
        </w:rPr>
        <w:t>Військова агресія Російської Федерації проти України, що розпочалася з анексії Криму та окупації окремих районів Донецької та Луганської областей у 2014 році й переросла у повномасштабне вторгнення 24 лютого 2022 року, стала каталізатором радикальних трансформацій системи європейської безпеки та оборонної політики Європейського Союзу. Фундаментальні зрушення геополітичного середовища на континенті, найбільший збройний конфлікт у Європі після завершення Другої світової війни, примусили кардинально переглянути базові постулати безпекової архітектури ЄС, стратегічні пріоритети оборонної політики та механізми забезпечення колективної безпеки держав-членів. Масштабність викликів, з якими зіткнувся Європейський Союз у контексті російської агресії, поставила під сумнів адекватність існуючих інструментів та підходів і стимулювала прискорений розвиток нових концептуальних та практичних механізмів забезпечення колективної безпеки [1].</w:t>
      </w:r>
    </w:p>
    <w:p w14:paraId="4A3C8C89" w14:textId="1FFC03F4" w:rsidR="006533B3" w:rsidRPr="00CE22B8" w:rsidRDefault="006533B3" w:rsidP="00C1552A">
      <w:pPr>
        <w:pStyle w:val="whitespace-normal"/>
        <w:spacing w:before="0" w:beforeAutospacing="0" w:after="0" w:afterAutospacing="0" w:line="360" w:lineRule="auto"/>
        <w:ind w:firstLine="709"/>
        <w:jc w:val="both"/>
        <w:rPr>
          <w:sz w:val="28"/>
          <w:szCs w:val="28"/>
          <w:lang w:val="uk-UA"/>
        </w:rPr>
      </w:pPr>
      <w:r w:rsidRPr="00CE22B8">
        <w:rPr>
          <w:b/>
          <w:bCs/>
          <w:sz w:val="28"/>
          <w:szCs w:val="28"/>
          <w:lang w:val="uk-UA"/>
        </w:rPr>
        <w:t>Актуальність дослідження</w:t>
      </w:r>
      <w:r w:rsidRPr="00CE22B8">
        <w:rPr>
          <w:sz w:val="28"/>
          <w:szCs w:val="28"/>
          <w:lang w:val="uk-UA"/>
        </w:rPr>
        <w:t xml:space="preserve"> процесу формування політики колективної безпеки ЄС в умовах російсько-української війни визначається безпрецедентністю сучасних викликів для європейської безпеки та необхідністю комплексного наукового осмислення динаміки трансформацій безпекових парадигм, інституційних механізмів та практик колективної оборони. Повномасштабне російське вторгнення в Україну призвело до фундаментального перегляду стратегічних документів ЄС, включаючи «Стратегічний компас для безпеки та оборони» (2022), суттєвого збільшення оборонних бюджетів, інтенсифікації військово-технічного співробітництва та формування нових інституційних механізмів. Глибинне розуміння логіки та напрямків трансформації політики колективної безпеки ЄС має вирішальне значення для прогнозування подальшої еволюції європейської архітектури безпеки, оцінки її ефективності та визначення оптимальних форм взаємодії з іншими системами колективної оборони, включаючи НАТО. Дослідження також має практичне значення для України, оскільки дозволяє оцінити потенціал </w:t>
      </w:r>
      <w:r w:rsidRPr="00CE22B8">
        <w:rPr>
          <w:sz w:val="28"/>
          <w:szCs w:val="28"/>
          <w:lang w:val="uk-UA"/>
        </w:rPr>
        <w:lastRenderedPageBreak/>
        <w:t>безпекової співпраці з ЄС в умовах російської агресії та перспективи інтеграції до європейських оборонних структур у контексті процесу євроінтеграції [2].</w:t>
      </w:r>
      <w:r w:rsidR="00C1552A" w:rsidRPr="00CE22B8">
        <w:rPr>
          <w:sz w:val="28"/>
          <w:szCs w:val="28"/>
          <w:lang w:val="uk-UA"/>
        </w:rPr>
        <w:t xml:space="preserve"> </w:t>
      </w:r>
    </w:p>
    <w:p w14:paraId="5EADC815" w14:textId="77C9EB54" w:rsidR="00C1552A" w:rsidRPr="00C94022" w:rsidRDefault="00C1552A" w:rsidP="00C1552A">
      <w:pPr>
        <w:pStyle w:val="whitespace-normal"/>
        <w:spacing w:before="0" w:beforeAutospacing="0" w:after="0" w:afterAutospacing="0" w:line="360" w:lineRule="auto"/>
        <w:ind w:firstLine="709"/>
        <w:jc w:val="both"/>
        <w:rPr>
          <w:sz w:val="28"/>
          <w:szCs w:val="28"/>
          <w:lang w:val="uk-UA"/>
        </w:rPr>
      </w:pPr>
      <w:r w:rsidRPr="00C94022">
        <w:rPr>
          <w:b/>
          <w:bCs/>
          <w:sz w:val="28"/>
          <w:szCs w:val="28"/>
          <w:lang w:val="uk-UA"/>
        </w:rPr>
        <w:t>Об'єкт дослідження</w:t>
      </w:r>
      <w:r w:rsidRPr="00C1552A">
        <w:rPr>
          <w:sz w:val="28"/>
          <w:szCs w:val="28"/>
          <w:lang w:val="uk-UA"/>
        </w:rPr>
        <w:t xml:space="preserve"> – </w:t>
      </w:r>
      <w:r w:rsidR="00C94022">
        <w:rPr>
          <w:sz w:val="28"/>
          <w:szCs w:val="28"/>
          <w:lang w:val="uk-UA"/>
        </w:rPr>
        <w:t>колективна безпекова політика країн-</w:t>
      </w:r>
      <w:r w:rsidR="009F181F">
        <w:rPr>
          <w:sz w:val="28"/>
          <w:szCs w:val="28"/>
          <w:lang w:val="uk-UA"/>
        </w:rPr>
        <w:t>партнерів.</w:t>
      </w:r>
    </w:p>
    <w:p w14:paraId="0A1411C9" w14:textId="30C113A2" w:rsidR="00C1552A" w:rsidRPr="00C1552A" w:rsidRDefault="00C1552A" w:rsidP="00C1552A">
      <w:pPr>
        <w:pStyle w:val="whitespace-normal"/>
        <w:spacing w:before="0" w:beforeAutospacing="0" w:after="0" w:afterAutospacing="0" w:line="360" w:lineRule="auto"/>
        <w:ind w:firstLine="709"/>
        <w:jc w:val="both"/>
        <w:rPr>
          <w:sz w:val="28"/>
          <w:szCs w:val="28"/>
          <w:lang w:val="uk-UA"/>
        </w:rPr>
      </w:pPr>
      <w:r w:rsidRPr="00C94022">
        <w:rPr>
          <w:b/>
          <w:bCs/>
          <w:sz w:val="28"/>
          <w:szCs w:val="28"/>
          <w:lang w:val="uk-UA"/>
        </w:rPr>
        <w:t>Предмет дослідження</w:t>
      </w:r>
      <w:r w:rsidRPr="00C1552A">
        <w:rPr>
          <w:sz w:val="28"/>
          <w:szCs w:val="28"/>
          <w:lang w:val="uk-UA"/>
        </w:rPr>
        <w:t xml:space="preserve"> – </w:t>
      </w:r>
      <w:r w:rsidR="00C94022">
        <w:rPr>
          <w:sz w:val="28"/>
          <w:szCs w:val="28"/>
          <w:lang w:val="uk-UA"/>
        </w:rPr>
        <w:t>особливості реалізації безпекової політики країн ЄС на тлі повномасштабного російського</w:t>
      </w:r>
      <w:r w:rsidR="009F181F">
        <w:rPr>
          <w:sz w:val="28"/>
          <w:szCs w:val="28"/>
          <w:lang w:val="uk-UA"/>
        </w:rPr>
        <w:t xml:space="preserve"> </w:t>
      </w:r>
      <w:r w:rsidR="00C94022">
        <w:rPr>
          <w:sz w:val="28"/>
          <w:szCs w:val="28"/>
          <w:lang w:val="uk-UA"/>
        </w:rPr>
        <w:t>вторгнення.</w:t>
      </w:r>
    </w:p>
    <w:p w14:paraId="1E2BFBFE" w14:textId="4D4ACAEC" w:rsidR="00C1552A" w:rsidRPr="00C94022" w:rsidRDefault="00C1552A" w:rsidP="00C1552A">
      <w:pPr>
        <w:pStyle w:val="whitespace-normal"/>
        <w:spacing w:before="0" w:beforeAutospacing="0" w:after="0" w:afterAutospacing="0" w:line="360" w:lineRule="auto"/>
        <w:ind w:firstLine="709"/>
        <w:jc w:val="both"/>
        <w:rPr>
          <w:sz w:val="28"/>
          <w:szCs w:val="28"/>
          <w:lang w:val="uk-UA"/>
        </w:rPr>
      </w:pPr>
      <w:r w:rsidRPr="009F181F">
        <w:rPr>
          <w:b/>
          <w:bCs/>
          <w:sz w:val="28"/>
          <w:szCs w:val="28"/>
          <w:lang w:val="uk-UA"/>
        </w:rPr>
        <w:t>Мета дослідження</w:t>
      </w:r>
      <w:r w:rsidRPr="00C1552A">
        <w:rPr>
          <w:sz w:val="28"/>
          <w:szCs w:val="28"/>
          <w:lang w:val="uk-UA"/>
        </w:rPr>
        <w:t xml:space="preserve"> – </w:t>
      </w:r>
      <w:r w:rsidR="00C94022">
        <w:rPr>
          <w:sz w:val="28"/>
          <w:szCs w:val="28"/>
          <w:lang w:val="uk-UA"/>
        </w:rPr>
        <w:t xml:space="preserve">з’ясувати зміст та специфіку формування </w:t>
      </w:r>
      <w:r w:rsidR="009F181F">
        <w:rPr>
          <w:sz w:val="28"/>
          <w:szCs w:val="28"/>
          <w:lang w:val="uk-UA"/>
        </w:rPr>
        <w:t>політики колективної безпеки країн-членів ЄС в умовах російсько-української війни.</w:t>
      </w:r>
    </w:p>
    <w:p w14:paraId="463ED15F" w14:textId="40AF3FB6" w:rsidR="00C1552A" w:rsidRPr="00C1552A" w:rsidRDefault="00C1552A" w:rsidP="00C1552A">
      <w:pPr>
        <w:pStyle w:val="whitespace-normal"/>
        <w:spacing w:before="0" w:beforeAutospacing="0" w:after="0" w:afterAutospacing="0" w:line="360" w:lineRule="auto"/>
        <w:ind w:firstLine="709"/>
        <w:jc w:val="both"/>
        <w:rPr>
          <w:b/>
          <w:bCs/>
          <w:sz w:val="32"/>
          <w:szCs w:val="32"/>
          <w:lang w:val="uk-UA"/>
        </w:rPr>
      </w:pPr>
      <w:proofErr w:type="spellStart"/>
      <w:r w:rsidRPr="00C1552A">
        <w:rPr>
          <w:b/>
          <w:bCs/>
          <w:sz w:val="28"/>
          <w:szCs w:val="28"/>
        </w:rPr>
        <w:t>Завдання</w:t>
      </w:r>
      <w:proofErr w:type="spellEnd"/>
      <w:r w:rsidRPr="00C1552A">
        <w:rPr>
          <w:b/>
          <w:bCs/>
          <w:sz w:val="28"/>
          <w:szCs w:val="28"/>
        </w:rPr>
        <w:t xml:space="preserve"> </w:t>
      </w:r>
      <w:proofErr w:type="spellStart"/>
      <w:r w:rsidRPr="00C1552A">
        <w:rPr>
          <w:b/>
          <w:bCs/>
          <w:sz w:val="28"/>
          <w:szCs w:val="28"/>
        </w:rPr>
        <w:t>дослідження</w:t>
      </w:r>
      <w:proofErr w:type="spellEnd"/>
      <w:r w:rsidRPr="00C1552A">
        <w:rPr>
          <w:b/>
          <w:bCs/>
          <w:sz w:val="28"/>
          <w:szCs w:val="28"/>
        </w:rPr>
        <w:t>:</w:t>
      </w:r>
    </w:p>
    <w:p w14:paraId="2E843A51" w14:textId="35F1DC7D" w:rsidR="00AE5AAF" w:rsidRPr="0036226D" w:rsidRDefault="0036226D" w:rsidP="009F181F">
      <w:pPr>
        <w:pStyle w:val="whitespace-normal"/>
        <w:numPr>
          <w:ilvl w:val="0"/>
          <w:numId w:val="8"/>
        </w:numPr>
        <w:spacing w:before="0" w:beforeAutospacing="0" w:line="360" w:lineRule="auto"/>
        <w:jc w:val="both"/>
        <w:rPr>
          <w:sz w:val="28"/>
          <w:szCs w:val="28"/>
        </w:rPr>
      </w:pPr>
      <w:r>
        <w:rPr>
          <w:sz w:val="28"/>
          <w:szCs w:val="28"/>
          <w:lang w:val="uk-UA"/>
        </w:rPr>
        <w:t>з’ясувати зміст поняття «колективна безпека»:</w:t>
      </w:r>
    </w:p>
    <w:p w14:paraId="743227DF" w14:textId="7EEF68A8" w:rsidR="0036226D" w:rsidRPr="0036226D" w:rsidRDefault="0036226D" w:rsidP="009F181F">
      <w:pPr>
        <w:pStyle w:val="whitespace-normal"/>
        <w:numPr>
          <w:ilvl w:val="0"/>
          <w:numId w:val="8"/>
        </w:numPr>
        <w:spacing w:before="0" w:beforeAutospacing="0" w:line="360" w:lineRule="auto"/>
        <w:jc w:val="both"/>
        <w:rPr>
          <w:sz w:val="28"/>
          <w:szCs w:val="28"/>
        </w:rPr>
      </w:pPr>
      <w:r>
        <w:rPr>
          <w:sz w:val="28"/>
          <w:szCs w:val="28"/>
          <w:lang w:val="uk-UA"/>
        </w:rPr>
        <w:t>охарактеризувати теоретико-методологічні аспекти аналізу колективної безпеки в сучасному європейському контексті;</w:t>
      </w:r>
    </w:p>
    <w:p w14:paraId="49989DED" w14:textId="02A9D64E" w:rsidR="0036226D" w:rsidRPr="0036226D" w:rsidRDefault="0036226D" w:rsidP="009F181F">
      <w:pPr>
        <w:pStyle w:val="whitespace-normal"/>
        <w:numPr>
          <w:ilvl w:val="0"/>
          <w:numId w:val="8"/>
        </w:numPr>
        <w:spacing w:before="0" w:beforeAutospacing="0" w:line="360" w:lineRule="auto"/>
        <w:jc w:val="both"/>
        <w:rPr>
          <w:sz w:val="28"/>
          <w:szCs w:val="28"/>
        </w:rPr>
      </w:pPr>
      <w:r>
        <w:rPr>
          <w:sz w:val="28"/>
          <w:szCs w:val="28"/>
          <w:lang w:val="uk-UA"/>
        </w:rPr>
        <w:t>проаналізувати процес еволюції архітектури європейської колективної безпеки до початку повномасштабної російсько-української війни;</w:t>
      </w:r>
    </w:p>
    <w:p w14:paraId="33CC545D" w14:textId="56309F94" w:rsidR="0036226D" w:rsidRPr="0036226D" w:rsidRDefault="0036226D" w:rsidP="009F181F">
      <w:pPr>
        <w:pStyle w:val="whitespace-normal"/>
        <w:numPr>
          <w:ilvl w:val="0"/>
          <w:numId w:val="8"/>
        </w:numPr>
        <w:spacing w:before="0" w:beforeAutospacing="0" w:line="360" w:lineRule="auto"/>
        <w:jc w:val="both"/>
        <w:rPr>
          <w:sz w:val="28"/>
          <w:szCs w:val="28"/>
        </w:rPr>
      </w:pPr>
      <w:r>
        <w:rPr>
          <w:sz w:val="28"/>
          <w:szCs w:val="28"/>
          <w:lang w:val="uk-UA"/>
        </w:rPr>
        <w:t>розглянути інституційні механізми та нормативно-правові засади  функціонування оборонної політики ЄС;</w:t>
      </w:r>
    </w:p>
    <w:p w14:paraId="155E1AA3" w14:textId="5F8AD38C" w:rsidR="0036226D" w:rsidRPr="0036226D" w:rsidRDefault="0036226D" w:rsidP="009F181F">
      <w:pPr>
        <w:pStyle w:val="whitespace-normal"/>
        <w:numPr>
          <w:ilvl w:val="0"/>
          <w:numId w:val="8"/>
        </w:numPr>
        <w:spacing w:before="0" w:beforeAutospacing="0" w:line="360" w:lineRule="auto"/>
        <w:jc w:val="both"/>
        <w:rPr>
          <w:sz w:val="28"/>
          <w:szCs w:val="28"/>
        </w:rPr>
      </w:pPr>
      <w:r>
        <w:rPr>
          <w:sz w:val="28"/>
          <w:szCs w:val="28"/>
          <w:lang w:val="uk-UA"/>
        </w:rPr>
        <w:t>виокремити складові трансформаційної політики ЄС після повномасштабного російського вторгнення;</w:t>
      </w:r>
    </w:p>
    <w:p w14:paraId="6E36EB17" w14:textId="0C5A734F" w:rsidR="0036226D" w:rsidRPr="009F181F" w:rsidRDefault="0036226D" w:rsidP="009F181F">
      <w:pPr>
        <w:pStyle w:val="whitespace-normal"/>
        <w:numPr>
          <w:ilvl w:val="0"/>
          <w:numId w:val="8"/>
        </w:numPr>
        <w:spacing w:before="0" w:beforeAutospacing="0" w:line="360" w:lineRule="auto"/>
        <w:jc w:val="both"/>
        <w:rPr>
          <w:sz w:val="28"/>
          <w:szCs w:val="28"/>
        </w:rPr>
      </w:pPr>
      <w:r>
        <w:rPr>
          <w:sz w:val="28"/>
          <w:szCs w:val="28"/>
          <w:lang w:val="uk-UA"/>
        </w:rPr>
        <w:t>здійснити аналіз впровадження та перспектив стратегічного розвитку колективної безпеки і оборонної політики країн-членів ЄС.</w:t>
      </w:r>
    </w:p>
    <w:p w14:paraId="4D2A8692" w14:textId="5ABBBC69" w:rsidR="00AE5AAF" w:rsidRPr="00AE5AAF" w:rsidRDefault="00AE5AAF" w:rsidP="00AE5AAF">
      <w:pPr>
        <w:pStyle w:val="whitespace-normal"/>
        <w:spacing w:before="0" w:beforeAutospacing="0" w:after="0" w:afterAutospacing="0" w:line="360" w:lineRule="auto"/>
        <w:ind w:firstLine="709"/>
        <w:jc w:val="both"/>
        <w:rPr>
          <w:sz w:val="28"/>
          <w:szCs w:val="28"/>
          <w:lang w:val="uk-UA"/>
        </w:rPr>
      </w:pPr>
      <w:r w:rsidRPr="00C1552A">
        <w:rPr>
          <w:b/>
          <w:bCs/>
          <w:sz w:val="28"/>
          <w:szCs w:val="28"/>
        </w:rPr>
        <w:t xml:space="preserve">Методологічний інструментарій дослідження </w:t>
      </w:r>
      <w:r w:rsidRPr="006533B3">
        <w:rPr>
          <w:sz w:val="28"/>
          <w:szCs w:val="28"/>
        </w:rPr>
        <w:t xml:space="preserve">базується на системному, інституційному та структурно-функціональному підходах. Системний підхід дозволяє аналізувати політику колективної безпеки ЄС як цілісний комплекс взаємопов'язаних елементів, що функціонує у складному геополітичному середовищі та зазнає багатовимірного впливу російської агресії проти України. Інституційний підхід застосовується для дослідження формальних та неформальних інститутів європейської безпеки, їхньої ролі у формуванні та імплементації безпекових рішень, а також для аналізу інституційних трансформацій під впливом нових загроз. Структурно-функціональний підхід допомагає виявити взаємозв'язки між різними компонентами європейської </w:t>
      </w:r>
      <w:r w:rsidRPr="006533B3">
        <w:rPr>
          <w:sz w:val="28"/>
          <w:szCs w:val="28"/>
        </w:rPr>
        <w:lastRenderedPageBreak/>
        <w:t>системи безпеки, їхніми функціональними характеристиками та динамікою змін у контексті нових викликів. У дослідженні застосовується комплекс наукових методів: історичний метод для аналізу еволюції архітектури безпеки ЄС; порівняльний метод для зіставлення безпекових підходів різних держав-членів ЄС; метод аналізу документів для дослідження стратегічних документів ЄС; статистичний метод для аналізу динаміки оборонних бюджетів; та прогностичний метод для оцінки перспектив розвитку європейського оборонного потенціалу [4].</w:t>
      </w:r>
      <w:r>
        <w:rPr>
          <w:sz w:val="28"/>
          <w:szCs w:val="28"/>
          <w:lang w:val="uk-UA"/>
        </w:rPr>
        <w:t xml:space="preserve"> </w:t>
      </w:r>
    </w:p>
    <w:p w14:paraId="147CFD8B" w14:textId="0908B7EA" w:rsidR="006533B3" w:rsidRPr="00CE22B8" w:rsidRDefault="006533B3" w:rsidP="00C1552A">
      <w:pPr>
        <w:pStyle w:val="whitespace-normal"/>
        <w:spacing w:before="0" w:beforeAutospacing="0" w:after="0" w:afterAutospacing="0" w:line="360" w:lineRule="auto"/>
        <w:ind w:firstLine="709"/>
        <w:jc w:val="both"/>
        <w:rPr>
          <w:sz w:val="28"/>
          <w:szCs w:val="28"/>
          <w:lang w:val="uk-UA"/>
        </w:rPr>
      </w:pPr>
      <w:r w:rsidRPr="00CE22B8">
        <w:rPr>
          <w:b/>
          <w:bCs/>
          <w:sz w:val="28"/>
          <w:szCs w:val="28"/>
          <w:lang w:val="uk-UA"/>
        </w:rPr>
        <w:t>Наукова новизна</w:t>
      </w:r>
      <w:r w:rsidRPr="00CE22B8">
        <w:rPr>
          <w:sz w:val="28"/>
          <w:szCs w:val="28"/>
          <w:lang w:val="uk-UA"/>
        </w:rPr>
        <w:t xml:space="preserve"> дослідження полягає у комплексному аналізі трансформації політики колективної безпеки ЄС в умовах безпрецедентних безпекових викликів, спричинених повномасштабною російською агресією проти України. На відміну від попередніх досліджень, які зосереджувалися переважно на окремих аспектах європейської безпеки або на коротко- та середньострокових наслідках російської агресії, пропонована робота представляє цілісний аналіз системних трансформацій безпекової політики ЄС, виявляє структурні взаємозв'язки між різними рівнями та вимірами колективної безпеки та прогнозує довгострокові тенденції розвитку європейської архітектури безпеки. Дослідження пропонує оригінальну типологію підходів держав-членів ЄС до посилення колективної безпеки, аналізує інституційні інновації у сфері європейської оборони та оцінює перспективи розвитку оборонного потенціалу ЄС в умовах нової геополітичної реальності.</w:t>
      </w:r>
    </w:p>
    <w:p w14:paraId="7F92D386" w14:textId="77777777" w:rsidR="00C1552A" w:rsidRPr="00CE22B8" w:rsidRDefault="006533B3" w:rsidP="006533B3">
      <w:pPr>
        <w:pStyle w:val="whitespace-normal"/>
        <w:spacing w:before="0" w:beforeAutospacing="0" w:after="0" w:afterAutospacing="0" w:line="360" w:lineRule="auto"/>
        <w:ind w:firstLine="709"/>
        <w:jc w:val="both"/>
        <w:rPr>
          <w:sz w:val="28"/>
          <w:szCs w:val="28"/>
          <w:lang w:val="uk-UA"/>
        </w:rPr>
      </w:pPr>
      <w:r w:rsidRPr="00CE22B8">
        <w:rPr>
          <w:b/>
          <w:bCs/>
          <w:sz w:val="28"/>
          <w:szCs w:val="28"/>
          <w:lang w:val="uk-UA"/>
        </w:rPr>
        <w:t xml:space="preserve">Теоретичне значення </w:t>
      </w:r>
      <w:r w:rsidRPr="00CE22B8">
        <w:rPr>
          <w:sz w:val="28"/>
          <w:szCs w:val="28"/>
          <w:lang w:val="uk-UA"/>
        </w:rPr>
        <w:t xml:space="preserve">дослідження полягає у поглибленні наукового розуміння механізмів трансформації систем колективної безпеки під впливом </w:t>
      </w:r>
      <w:proofErr w:type="spellStart"/>
      <w:r w:rsidRPr="00CE22B8">
        <w:rPr>
          <w:sz w:val="28"/>
          <w:szCs w:val="28"/>
          <w:lang w:val="uk-UA"/>
        </w:rPr>
        <w:t>екзистенційних</w:t>
      </w:r>
      <w:proofErr w:type="spellEnd"/>
      <w:r w:rsidRPr="00CE22B8">
        <w:rPr>
          <w:sz w:val="28"/>
          <w:szCs w:val="28"/>
          <w:lang w:val="uk-UA"/>
        </w:rPr>
        <w:t xml:space="preserve"> загроз, уточненні концептуальних засад європейської оборонної інтеграції та розвитку методологічного інструментарію аналізу безпекових процесів в умовах гібридних загроз. </w:t>
      </w:r>
    </w:p>
    <w:p w14:paraId="6B1270BC" w14:textId="09708526" w:rsidR="006533B3" w:rsidRDefault="006533B3" w:rsidP="006533B3">
      <w:pPr>
        <w:pStyle w:val="whitespace-normal"/>
        <w:spacing w:before="0" w:beforeAutospacing="0" w:after="0" w:afterAutospacing="0" w:line="360" w:lineRule="auto"/>
        <w:ind w:firstLine="709"/>
        <w:jc w:val="both"/>
        <w:rPr>
          <w:sz w:val="28"/>
          <w:szCs w:val="28"/>
          <w:lang w:val="uk-UA"/>
        </w:rPr>
      </w:pPr>
      <w:r w:rsidRPr="00CE22B8">
        <w:rPr>
          <w:b/>
          <w:bCs/>
          <w:sz w:val="28"/>
          <w:szCs w:val="28"/>
          <w:lang w:val="uk-UA"/>
        </w:rPr>
        <w:t>Практичне значення</w:t>
      </w:r>
      <w:r w:rsidRPr="00CE22B8">
        <w:rPr>
          <w:sz w:val="28"/>
          <w:szCs w:val="28"/>
          <w:lang w:val="uk-UA"/>
        </w:rPr>
        <w:t xml:space="preserve"> роботи визначається можливістю використання результатів дослідження для формування стратегічних підходів до розвитку безпекової співпраці України з ЄС, оптимізації процесів європейської інтеграції у сфері безпеки та оборони, а також для вдосконалення механізмів колективної </w:t>
      </w:r>
      <w:r w:rsidRPr="00CE22B8">
        <w:rPr>
          <w:sz w:val="28"/>
          <w:szCs w:val="28"/>
          <w:lang w:val="uk-UA"/>
        </w:rPr>
        <w:lastRenderedPageBreak/>
        <w:t xml:space="preserve">безпеки в Європі. </w:t>
      </w:r>
      <w:proofErr w:type="spellStart"/>
      <w:r w:rsidRPr="006533B3">
        <w:rPr>
          <w:sz w:val="28"/>
          <w:szCs w:val="28"/>
        </w:rPr>
        <w:t>Результати</w:t>
      </w:r>
      <w:proofErr w:type="spellEnd"/>
      <w:r w:rsidRPr="006533B3">
        <w:rPr>
          <w:sz w:val="28"/>
          <w:szCs w:val="28"/>
        </w:rPr>
        <w:t xml:space="preserve"> </w:t>
      </w:r>
      <w:proofErr w:type="spellStart"/>
      <w:r w:rsidRPr="006533B3">
        <w:rPr>
          <w:sz w:val="28"/>
          <w:szCs w:val="28"/>
        </w:rPr>
        <w:t>дослідження</w:t>
      </w:r>
      <w:proofErr w:type="spellEnd"/>
      <w:r w:rsidRPr="006533B3">
        <w:rPr>
          <w:sz w:val="28"/>
          <w:szCs w:val="28"/>
        </w:rPr>
        <w:t xml:space="preserve"> </w:t>
      </w:r>
      <w:proofErr w:type="spellStart"/>
      <w:r w:rsidRPr="006533B3">
        <w:rPr>
          <w:sz w:val="28"/>
          <w:szCs w:val="28"/>
        </w:rPr>
        <w:t>можуть</w:t>
      </w:r>
      <w:proofErr w:type="spellEnd"/>
      <w:r w:rsidRPr="006533B3">
        <w:rPr>
          <w:sz w:val="28"/>
          <w:szCs w:val="28"/>
        </w:rPr>
        <w:t xml:space="preserve"> бути використані дипломатичними установами, оборонними відомствами, аналітичними центрами, а також у навчальному процесі при викладанні дисциплін з європейської інтеграції, міжнародної безпеки та зовнішньої політики.</w:t>
      </w:r>
    </w:p>
    <w:p w14:paraId="02633DB3" w14:textId="77777777" w:rsidR="006533B3" w:rsidRDefault="006533B3" w:rsidP="006533B3">
      <w:pPr>
        <w:pStyle w:val="whitespace-normal"/>
        <w:spacing w:before="0" w:beforeAutospacing="0" w:after="0" w:afterAutospacing="0" w:line="360" w:lineRule="auto"/>
        <w:ind w:firstLine="709"/>
        <w:jc w:val="both"/>
        <w:rPr>
          <w:sz w:val="28"/>
          <w:szCs w:val="28"/>
          <w:lang w:val="uk-UA"/>
        </w:rPr>
      </w:pPr>
    </w:p>
    <w:p w14:paraId="421BF2BD" w14:textId="77777777" w:rsidR="00C1552A" w:rsidRDefault="00C1552A" w:rsidP="006533B3">
      <w:pPr>
        <w:pStyle w:val="whitespace-normal"/>
        <w:spacing w:before="0" w:beforeAutospacing="0" w:after="0" w:afterAutospacing="0" w:line="360" w:lineRule="auto"/>
        <w:ind w:firstLine="709"/>
        <w:jc w:val="both"/>
        <w:rPr>
          <w:sz w:val="28"/>
          <w:szCs w:val="28"/>
          <w:lang w:val="uk-UA"/>
        </w:rPr>
      </w:pPr>
    </w:p>
    <w:p w14:paraId="2F9962C2" w14:textId="77777777" w:rsidR="00C1552A" w:rsidRDefault="00C1552A" w:rsidP="006533B3">
      <w:pPr>
        <w:pStyle w:val="whitespace-normal"/>
        <w:spacing w:before="0" w:beforeAutospacing="0" w:after="0" w:afterAutospacing="0" w:line="360" w:lineRule="auto"/>
        <w:ind w:firstLine="709"/>
        <w:jc w:val="both"/>
        <w:rPr>
          <w:sz w:val="28"/>
          <w:szCs w:val="28"/>
          <w:lang w:val="uk-UA"/>
        </w:rPr>
      </w:pPr>
    </w:p>
    <w:p w14:paraId="68A01716" w14:textId="77777777" w:rsidR="00C1552A" w:rsidRDefault="00C1552A" w:rsidP="006533B3">
      <w:pPr>
        <w:pStyle w:val="whitespace-normal"/>
        <w:spacing w:before="0" w:beforeAutospacing="0" w:after="0" w:afterAutospacing="0" w:line="360" w:lineRule="auto"/>
        <w:ind w:firstLine="709"/>
        <w:jc w:val="both"/>
        <w:rPr>
          <w:sz w:val="28"/>
          <w:szCs w:val="28"/>
          <w:lang w:val="uk-UA"/>
        </w:rPr>
      </w:pPr>
    </w:p>
    <w:p w14:paraId="563231AB" w14:textId="77777777" w:rsidR="00C1552A" w:rsidRDefault="00C1552A" w:rsidP="006533B3">
      <w:pPr>
        <w:pStyle w:val="whitespace-normal"/>
        <w:spacing w:before="0" w:beforeAutospacing="0" w:after="0" w:afterAutospacing="0" w:line="360" w:lineRule="auto"/>
        <w:ind w:firstLine="709"/>
        <w:jc w:val="both"/>
        <w:rPr>
          <w:sz w:val="28"/>
          <w:szCs w:val="28"/>
          <w:lang w:val="uk-UA"/>
        </w:rPr>
      </w:pPr>
    </w:p>
    <w:p w14:paraId="7BCAB99A" w14:textId="77777777" w:rsidR="00C1552A" w:rsidRDefault="00C1552A" w:rsidP="006533B3">
      <w:pPr>
        <w:pStyle w:val="whitespace-normal"/>
        <w:spacing w:before="0" w:beforeAutospacing="0" w:after="0" w:afterAutospacing="0" w:line="360" w:lineRule="auto"/>
        <w:ind w:firstLine="709"/>
        <w:jc w:val="both"/>
        <w:rPr>
          <w:sz w:val="28"/>
          <w:szCs w:val="28"/>
          <w:lang w:val="uk-UA"/>
        </w:rPr>
      </w:pPr>
    </w:p>
    <w:p w14:paraId="3356A60A" w14:textId="77777777" w:rsidR="00C1552A" w:rsidRDefault="00C1552A" w:rsidP="006533B3">
      <w:pPr>
        <w:pStyle w:val="whitespace-normal"/>
        <w:spacing w:before="0" w:beforeAutospacing="0" w:after="0" w:afterAutospacing="0" w:line="360" w:lineRule="auto"/>
        <w:ind w:firstLine="709"/>
        <w:jc w:val="both"/>
        <w:rPr>
          <w:sz w:val="28"/>
          <w:szCs w:val="28"/>
          <w:lang w:val="uk-UA"/>
        </w:rPr>
      </w:pPr>
    </w:p>
    <w:p w14:paraId="30305501" w14:textId="77777777" w:rsidR="00C1552A" w:rsidRDefault="00C1552A" w:rsidP="006533B3">
      <w:pPr>
        <w:pStyle w:val="whitespace-normal"/>
        <w:spacing w:before="0" w:beforeAutospacing="0" w:after="0" w:afterAutospacing="0" w:line="360" w:lineRule="auto"/>
        <w:ind w:firstLine="709"/>
        <w:jc w:val="both"/>
        <w:rPr>
          <w:sz w:val="28"/>
          <w:szCs w:val="28"/>
          <w:lang w:val="uk-UA"/>
        </w:rPr>
      </w:pPr>
    </w:p>
    <w:p w14:paraId="4A0BD5E2" w14:textId="77777777" w:rsidR="00C1552A" w:rsidRDefault="00C1552A" w:rsidP="006533B3">
      <w:pPr>
        <w:pStyle w:val="whitespace-normal"/>
        <w:spacing w:before="0" w:beforeAutospacing="0" w:after="0" w:afterAutospacing="0" w:line="360" w:lineRule="auto"/>
        <w:ind w:firstLine="709"/>
        <w:jc w:val="both"/>
        <w:rPr>
          <w:sz w:val="28"/>
          <w:szCs w:val="28"/>
          <w:lang w:val="uk-UA"/>
        </w:rPr>
      </w:pPr>
    </w:p>
    <w:p w14:paraId="37D2A536" w14:textId="77777777" w:rsidR="00C1552A" w:rsidRDefault="00C1552A" w:rsidP="006533B3">
      <w:pPr>
        <w:pStyle w:val="whitespace-normal"/>
        <w:spacing w:before="0" w:beforeAutospacing="0" w:after="0" w:afterAutospacing="0" w:line="360" w:lineRule="auto"/>
        <w:ind w:firstLine="709"/>
        <w:jc w:val="both"/>
        <w:rPr>
          <w:sz w:val="28"/>
          <w:szCs w:val="28"/>
          <w:lang w:val="uk-UA"/>
        </w:rPr>
      </w:pPr>
    </w:p>
    <w:p w14:paraId="7F3065A2" w14:textId="77777777" w:rsidR="00C1552A" w:rsidRDefault="00C1552A" w:rsidP="006533B3">
      <w:pPr>
        <w:pStyle w:val="whitespace-normal"/>
        <w:spacing w:before="0" w:beforeAutospacing="0" w:after="0" w:afterAutospacing="0" w:line="360" w:lineRule="auto"/>
        <w:ind w:firstLine="709"/>
        <w:jc w:val="both"/>
        <w:rPr>
          <w:sz w:val="28"/>
          <w:szCs w:val="28"/>
          <w:lang w:val="uk-UA"/>
        </w:rPr>
      </w:pPr>
    </w:p>
    <w:p w14:paraId="6FC5C482" w14:textId="77777777" w:rsidR="00C1552A" w:rsidRDefault="00C1552A" w:rsidP="006533B3">
      <w:pPr>
        <w:pStyle w:val="whitespace-normal"/>
        <w:spacing w:before="0" w:beforeAutospacing="0" w:after="0" w:afterAutospacing="0" w:line="360" w:lineRule="auto"/>
        <w:ind w:firstLine="709"/>
        <w:jc w:val="both"/>
        <w:rPr>
          <w:sz w:val="28"/>
          <w:szCs w:val="28"/>
          <w:lang w:val="uk-UA"/>
        </w:rPr>
      </w:pPr>
    </w:p>
    <w:p w14:paraId="484F1EE6" w14:textId="77777777" w:rsidR="00C1552A" w:rsidRDefault="00C1552A" w:rsidP="006533B3">
      <w:pPr>
        <w:pStyle w:val="whitespace-normal"/>
        <w:spacing w:before="0" w:beforeAutospacing="0" w:after="0" w:afterAutospacing="0" w:line="360" w:lineRule="auto"/>
        <w:ind w:firstLine="709"/>
        <w:jc w:val="both"/>
        <w:rPr>
          <w:sz w:val="28"/>
          <w:szCs w:val="28"/>
          <w:lang w:val="uk-UA"/>
        </w:rPr>
      </w:pPr>
    </w:p>
    <w:p w14:paraId="10AB657B" w14:textId="77777777" w:rsidR="00C1552A" w:rsidRDefault="00C1552A" w:rsidP="006533B3">
      <w:pPr>
        <w:pStyle w:val="whitespace-normal"/>
        <w:spacing w:before="0" w:beforeAutospacing="0" w:after="0" w:afterAutospacing="0" w:line="360" w:lineRule="auto"/>
        <w:ind w:firstLine="709"/>
        <w:jc w:val="both"/>
        <w:rPr>
          <w:sz w:val="28"/>
          <w:szCs w:val="28"/>
          <w:lang w:val="uk-UA"/>
        </w:rPr>
      </w:pPr>
    </w:p>
    <w:p w14:paraId="6075E539" w14:textId="77777777" w:rsidR="0036226D" w:rsidRDefault="0036226D" w:rsidP="006533B3">
      <w:pPr>
        <w:pStyle w:val="whitespace-normal"/>
        <w:spacing w:before="0" w:beforeAutospacing="0" w:after="0" w:afterAutospacing="0" w:line="360" w:lineRule="auto"/>
        <w:ind w:firstLine="709"/>
        <w:jc w:val="both"/>
        <w:rPr>
          <w:sz w:val="28"/>
          <w:szCs w:val="28"/>
          <w:lang w:val="uk-UA"/>
        </w:rPr>
      </w:pPr>
    </w:p>
    <w:p w14:paraId="41A89ECA" w14:textId="77777777" w:rsidR="0036226D" w:rsidRDefault="0036226D" w:rsidP="006533B3">
      <w:pPr>
        <w:pStyle w:val="whitespace-normal"/>
        <w:spacing w:before="0" w:beforeAutospacing="0" w:after="0" w:afterAutospacing="0" w:line="360" w:lineRule="auto"/>
        <w:ind w:firstLine="709"/>
        <w:jc w:val="both"/>
        <w:rPr>
          <w:sz w:val="28"/>
          <w:szCs w:val="28"/>
          <w:lang w:val="uk-UA"/>
        </w:rPr>
      </w:pPr>
    </w:p>
    <w:p w14:paraId="7678C84E" w14:textId="77777777" w:rsidR="0036226D" w:rsidRDefault="0036226D" w:rsidP="006533B3">
      <w:pPr>
        <w:pStyle w:val="whitespace-normal"/>
        <w:spacing w:before="0" w:beforeAutospacing="0" w:after="0" w:afterAutospacing="0" w:line="360" w:lineRule="auto"/>
        <w:ind w:firstLine="709"/>
        <w:jc w:val="both"/>
        <w:rPr>
          <w:sz w:val="28"/>
          <w:szCs w:val="28"/>
          <w:lang w:val="uk-UA"/>
        </w:rPr>
      </w:pPr>
    </w:p>
    <w:p w14:paraId="6EC3632C" w14:textId="77777777" w:rsidR="0036226D" w:rsidRDefault="0036226D" w:rsidP="006533B3">
      <w:pPr>
        <w:pStyle w:val="whitespace-normal"/>
        <w:spacing w:before="0" w:beforeAutospacing="0" w:after="0" w:afterAutospacing="0" w:line="360" w:lineRule="auto"/>
        <w:ind w:firstLine="709"/>
        <w:jc w:val="both"/>
        <w:rPr>
          <w:sz w:val="28"/>
          <w:szCs w:val="28"/>
          <w:lang w:val="uk-UA"/>
        </w:rPr>
      </w:pPr>
    </w:p>
    <w:p w14:paraId="13B04644" w14:textId="77777777" w:rsidR="0036226D" w:rsidRDefault="0036226D" w:rsidP="006533B3">
      <w:pPr>
        <w:pStyle w:val="whitespace-normal"/>
        <w:spacing w:before="0" w:beforeAutospacing="0" w:after="0" w:afterAutospacing="0" w:line="360" w:lineRule="auto"/>
        <w:ind w:firstLine="709"/>
        <w:jc w:val="both"/>
        <w:rPr>
          <w:sz w:val="28"/>
          <w:szCs w:val="28"/>
          <w:lang w:val="uk-UA"/>
        </w:rPr>
      </w:pPr>
    </w:p>
    <w:p w14:paraId="1A5CA3B3" w14:textId="77777777" w:rsidR="0036226D" w:rsidRDefault="0036226D" w:rsidP="006533B3">
      <w:pPr>
        <w:pStyle w:val="whitespace-normal"/>
        <w:spacing w:before="0" w:beforeAutospacing="0" w:after="0" w:afterAutospacing="0" w:line="360" w:lineRule="auto"/>
        <w:ind w:firstLine="709"/>
        <w:jc w:val="both"/>
        <w:rPr>
          <w:sz w:val="28"/>
          <w:szCs w:val="28"/>
          <w:lang w:val="uk-UA"/>
        </w:rPr>
      </w:pPr>
    </w:p>
    <w:p w14:paraId="6FADA435" w14:textId="77777777" w:rsidR="0036226D" w:rsidRDefault="0036226D" w:rsidP="006533B3">
      <w:pPr>
        <w:pStyle w:val="whitespace-normal"/>
        <w:spacing w:before="0" w:beforeAutospacing="0" w:after="0" w:afterAutospacing="0" w:line="360" w:lineRule="auto"/>
        <w:ind w:firstLine="709"/>
        <w:jc w:val="both"/>
        <w:rPr>
          <w:sz w:val="28"/>
          <w:szCs w:val="28"/>
          <w:lang w:val="uk-UA"/>
        </w:rPr>
      </w:pPr>
    </w:p>
    <w:p w14:paraId="26340926" w14:textId="77777777" w:rsidR="0036226D" w:rsidRDefault="0036226D" w:rsidP="006533B3">
      <w:pPr>
        <w:pStyle w:val="whitespace-normal"/>
        <w:spacing w:before="0" w:beforeAutospacing="0" w:after="0" w:afterAutospacing="0" w:line="360" w:lineRule="auto"/>
        <w:ind w:firstLine="709"/>
        <w:jc w:val="both"/>
        <w:rPr>
          <w:sz w:val="28"/>
          <w:szCs w:val="28"/>
          <w:lang w:val="uk-UA"/>
        </w:rPr>
      </w:pPr>
    </w:p>
    <w:p w14:paraId="5F4212E4" w14:textId="77777777" w:rsidR="0036226D" w:rsidRPr="006533B3" w:rsidRDefault="0036226D" w:rsidP="006533B3">
      <w:pPr>
        <w:pStyle w:val="whitespace-normal"/>
        <w:spacing w:before="0" w:beforeAutospacing="0" w:after="0" w:afterAutospacing="0" w:line="360" w:lineRule="auto"/>
        <w:ind w:firstLine="709"/>
        <w:jc w:val="both"/>
        <w:rPr>
          <w:sz w:val="28"/>
          <w:szCs w:val="28"/>
          <w:lang w:val="uk-UA"/>
        </w:rPr>
      </w:pPr>
    </w:p>
    <w:p w14:paraId="5350E230" w14:textId="77777777" w:rsidR="006533B3" w:rsidRPr="006533B3" w:rsidRDefault="006533B3" w:rsidP="006533B3">
      <w:pPr>
        <w:pStyle w:val="1"/>
      </w:pPr>
      <w:bookmarkStart w:id="2" w:name="_Toc198089410"/>
      <w:r w:rsidRPr="006533B3">
        <w:lastRenderedPageBreak/>
        <w:t>РОЗДІЛ 1. КОНЦЕПТУАЛЬНІ ТА ІСТОРИЧНІ ЗАСАДИ ФОРМУВАННЯ ПОЛІТИКИ КОЛЕКТИВНОЇ БЕЗПЕКИ ЄС</w:t>
      </w:r>
      <w:bookmarkEnd w:id="2"/>
    </w:p>
    <w:p w14:paraId="61022F8A" w14:textId="77777777" w:rsidR="006533B3" w:rsidRPr="006533B3" w:rsidRDefault="006533B3" w:rsidP="0012394F">
      <w:pPr>
        <w:pStyle w:val="2"/>
      </w:pPr>
      <w:bookmarkStart w:id="3" w:name="_Toc198089411"/>
      <w:r w:rsidRPr="006533B3">
        <w:t>1.1 Теоретико-</w:t>
      </w:r>
      <w:proofErr w:type="spellStart"/>
      <w:r w:rsidRPr="006533B3">
        <w:t>методологічні</w:t>
      </w:r>
      <w:proofErr w:type="spellEnd"/>
      <w:r w:rsidRPr="006533B3">
        <w:t xml:space="preserve"> </w:t>
      </w:r>
      <w:proofErr w:type="spellStart"/>
      <w:r w:rsidRPr="006533B3">
        <w:t>аспекти</w:t>
      </w:r>
      <w:proofErr w:type="spellEnd"/>
      <w:r w:rsidRPr="006533B3">
        <w:t xml:space="preserve"> </w:t>
      </w:r>
      <w:proofErr w:type="spellStart"/>
      <w:r w:rsidRPr="006533B3">
        <w:t>колективної</w:t>
      </w:r>
      <w:proofErr w:type="spellEnd"/>
      <w:r w:rsidRPr="006533B3">
        <w:t xml:space="preserve"> </w:t>
      </w:r>
      <w:proofErr w:type="spellStart"/>
      <w:r w:rsidRPr="006533B3">
        <w:t>безпеки</w:t>
      </w:r>
      <w:proofErr w:type="spellEnd"/>
      <w:r w:rsidRPr="006533B3">
        <w:t xml:space="preserve"> в </w:t>
      </w:r>
      <w:proofErr w:type="spellStart"/>
      <w:r w:rsidRPr="006533B3">
        <w:t>європейському</w:t>
      </w:r>
      <w:proofErr w:type="spellEnd"/>
      <w:r w:rsidRPr="006533B3">
        <w:t xml:space="preserve"> </w:t>
      </w:r>
      <w:proofErr w:type="spellStart"/>
      <w:r w:rsidRPr="006533B3">
        <w:t>контексті</w:t>
      </w:r>
      <w:bookmarkEnd w:id="3"/>
      <w:proofErr w:type="spellEnd"/>
    </w:p>
    <w:p w14:paraId="2BE6B4C0" w14:textId="77777777" w:rsidR="006533B3" w:rsidRPr="006533B3" w:rsidRDefault="006533B3" w:rsidP="006533B3">
      <w:pPr>
        <w:pStyle w:val="whitespace-normal"/>
        <w:spacing w:before="0" w:beforeAutospacing="0" w:after="0" w:afterAutospacing="0" w:line="360" w:lineRule="auto"/>
        <w:ind w:firstLine="709"/>
        <w:jc w:val="both"/>
        <w:rPr>
          <w:sz w:val="28"/>
          <w:szCs w:val="28"/>
        </w:rPr>
      </w:pPr>
      <w:r w:rsidRPr="006533B3">
        <w:rPr>
          <w:sz w:val="28"/>
          <w:szCs w:val="28"/>
        </w:rPr>
        <w:t>Концепція колективної безпеки в європейському контексті сформувалася як результат тривалої еволюції політичної думки та практики міждержавних відносин, відображаючи прагнення європейських народів до забезпечення миру та стабільності на континенті після руйнівних конфліктів. Філософські основи ідеї європейської колективної безпеки закладені в працях мислителів Просвітництва, серед яких особливе місце займає трактат Іммануїла Канта «До вічного миру» (1795), де сформульовано концепцію федерації вільних держав як механізму запобігання війнам. Згідно з кантіанською традицією, стабільний мир можливий лише за умови формування спільноти республіканських держав, об'єднаних спільними правовими нормами та принципами. Подальший розвиток ідеї колективної безпеки пов'язаний з діяльністю Аббата де Сен-П'єра, Жан-Жака Руссо, Джеремі Бентама, які розробляли концепції європейського федералізму та міждержавної співпраці для підтримання миру. Після катастрофічних наслідків Першої світової війни відбулася перша практична спроба реалізації колективної безпеки на глобальному рівні через створення Ліги Націй, проте обмеженість механізмів примусу та відсутність дієвої системи санкцій не дозволили запобігти новій світовій війні [9].</w:t>
      </w:r>
    </w:p>
    <w:p w14:paraId="4CB0E7A4" w14:textId="77777777" w:rsidR="006533B3" w:rsidRPr="006533B3" w:rsidRDefault="006533B3" w:rsidP="006533B3">
      <w:pPr>
        <w:pStyle w:val="whitespace-normal"/>
        <w:spacing w:before="0" w:beforeAutospacing="0" w:after="0" w:afterAutospacing="0" w:line="360" w:lineRule="auto"/>
        <w:ind w:firstLine="709"/>
        <w:jc w:val="both"/>
        <w:rPr>
          <w:sz w:val="28"/>
          <w:szCs w:val="28"/>
        </w:rPr>
      </w:pPr>
      <w:r w:rsidRPr="006533B3">
        <w:rPr>
          <w:sz w:val="28"/>
          <w:szCs w:val="28"/>
        </w:rPr>
        <w:t xml:space="preserve">Сучасні теоретичні підходи до розуміння колективної безпеки в європейському контексті розвиваються в рамках трьох основних парадигм міжнародних відносин: реалізму, лібералізму та конструктивізму. Реалістична парадигма, представлена в роботах Ганса Моргентау, Кеннета Уолца, Джона Міршаймера, розглядає міжнародну систему як анархічне середовище, де держави прагнуть максимізувати власну безпеку через нарощування військової потужності та формування альянсів. З реалістичної перспективи, колективна безпека ЄС трактується як форма балансування європейських держав проти </w:t>
      </w:r>
      <w:r w:rsidRPr="006533B3">
        <w:rPr>
          <w:sz w:val="28"/>
          <w:szCs w:val="28"/>
        </w:rPr>
        <w:lastRenderedPageBreak/>
        <w:t>зовнішніх загроз, насамперед російської експансії, та прагнення зменшити залежність від американських безпекових гарантій. Неореалісти, зокрема, Джон Міршаймер, скептично оцінюють перспективи формування автономної європейської системи колективної безпеки, наголошуючи на стійкості національних інтересів, обмеженості довіри між державами та залежності Європи від американського ядерного парасольки. У контексті російсько-української війни реалісти вказують на посилення логіки балансу сил у європейській безпековій політиці, повернення до територіальної оборони як пріоритету та зростання значення військового потенціалу в забезпеченні національної та колективної безпеки [10].</w:t>
      </w:r>
    </w:p>
    <w:p w14:paraId="39B359C4" w14:textId="77777777" w:rsidR="006533B3" w:rsidRPr="006533B3" w:rsidRDefault="006533B3" w:rsidP="006533B3">
      <w:pPr>
        <w:pStyle w:val="whitespace-normal"/>
        <w:spacing w:before="0" w:beforeAutospacing="0" w:after="0" w:afterAutospacing="0" w:line="360" w:lineRule="auto"/>
        <w:ind w:firstLine="709"/>
        <w:jc w:val="both"/>
        <w:rPr>
          <w:sz w:val="28"/>
          <w:szCs w:val="28"/>
        </w:rPr>
      </w:pPr>
      <w:r w:rsidRPr="006533B3">
        <w:rPr>
          <w:sz w:val="28"/>
          <w:szCs w:val="28"/>
        </w:rPr>
        <w:t>Ліберальна парадигма, розвинута в працях Роберта Кеохейна, Джозефа Ная, Ендрю Моравчика, Френка Шіммельфенніга, акцентує увагу на можливостях подолання анархії міжнародної системи через створення міжнародних інститутів, норм та режимів співпраці. Неоліберальний інституціоналізм розглядає колективну безпеку як систему, де держави добровільно обмежують свободу дій для досягнення взаємної вигоди від співпраці та зниження трансакційних витрат. З ліберальної точки зору, європейська інтеграція у сфері безпеки та оборони є логічним продовженням економічної та політичної інтеграції, що дозволяє державам-членам ЄС ефективніше протистояти спільним загрозам та реалізовувати спільні інтереси. Теорія ліберального міжурядовізму Ендрю Моравчика пояснює розвиток європейської оборонної інтеграції як результат міждержавних переговорів, де національні уряди виступають ключовими акторами, які приймають рішення на основі внутрішньополітичних преференцій та стратегічної взаємодії. Згідно з ліберальним підходом, російська агресія проти України створила «вікно можливостей» для поглиблення інтеграції у сфері безпеки та оборони, оскільки підвищила сприйняття спільних загроз та посилила внутрішній політичний тиск для посилення колективної безпеки [11].</w:t>
      </w:r>
    </w:p>
    <w:p w14:paraId="30879037" w14:textId="77777777" w:rsidR="006533B3" w:rsidRPr="006533B3" w:rsidRDefault="006533B3" w:rsidP="006533B3">
      <w:pPr>
        <w:pStyle w:val="whitespace-normal"/>
        <w:spacing w:before="0" w:beforeAutospacing="0" w:after="0" w:afterAutospacing="0" w:line="360" w:lineRule="auto"/>
        <w:ind w:firstLine="709"/>
        <w:jc w:val="both"/>
        <w:rPr>
          <w:sz w:val="28"/>
          <w:szCs w:val="28"/>
        </w:rPr>
      </w:pPr>
      <w:r w:rsidRPr="006533B3">
        <w:rPr>
          <w:sz w:val="28"/>
          <w:szCs w:val="28"/>
        </w:rPr>
        <w:t xml:space="preserve">Конструктивістська парадигма, представлена в роботах Александра Вендта, Томаса Ріссе, Емануеля Адлера, фокусується на ролі ідей, норм, </w:t>
      </w:r>
      <w:r w:rsidRPr="006533B3">
        <w:rPr>
          <w:sz w:val="28"/>
          <w:szCs w:val="28"/>
        </w:rPr>
        <w:lastRenderedPageBreak/>
        <w:t>ідентичностей та соціальних конструктів у формуванні міжнародної політики. Конструктивісти наголошують, що безпекові інтереси держав не є об'єктивно заданими, а формуються в процесі соціальної взаємодії та колективного конструювання загроз. Європейська колективна безпека, з конструктивістського погляду, ґрунтується на формуванні спільної стратегічної культури, європейської ідентичності та колективного розуміння безпекових викликів. Конструктивісти аналізують, як дискурси, практики та наративи щодо безпекових загроз впливають на формування політики колективної безпеки ЄС. У контексті російсько-української війни конструктивісти звертають увагу на трансформацію дискурсу європейської безпеки: від наголосу на «м'якій силі» та економічній взаємозалежності до акценту на «жорсткій силі», військовому стримуванні та геополітичному суперництві [12].</w:t>
      </w:r>
    </w:p>
    <w:p w14:paraId="5BB469EB" w14:textId="77777777" w:rsidR="006533B3" w:rsidRPr="006533B3" w:rsidRDefault="006533B3" w:rsidP="006533B3">
      <w:pPr>
        <w:pStyle w:val="whitespace-normal"/>
        <w:spacing w:before="0" w:beforeAutospacing="0" w:after="0" w:afterAutospacing="0" w:line="360" w:lineRule="auto"/>
        <w:ind w:firstLine="709"/>
        <w:jc w:val="both"/>
        <w:rPr>
          <w:sz w:val="28"/>
          <w:szCs w:val="28"/>
        </w:rPr>
      </w:pPr>
      <w:r w:rsidRPr="006533B3">
        <w:rPr>
          <w:sz w:val="28"/>
          <w:szCs w:val="28"/>
        </w:rPr>
        <w:t>Методологічно плюралістичний підхід до аналізу колективної безпеки ЄС дозволяє синтезувати сильні сторони різних теоретичних перспектив та забезпечити комплексне розуміння багатовимірного характеру європейських безпекових процесів. Реалістична парадигма допомагає пояснити логіку балансування проти зовнішніх загроз та прагнення держав-членів зберегти контроль над ключовими аспектами оборонної політики. Ліберальний підхід розкриває інституційні механізми європейської безпекової інтеграції та логіку співпраці для досягнення спільних цілей. Конструктивістська перспектива дозволяє зрозуміти процеси формування колективних ідентичностей, стратегічної культури та соціального конструювання загроз. Взаємодоповнюваність теоретичних підходів особливо важлива для аналізу складних трансформацій, спричинених російсько-українською війною, яка вплинула одночасно на матеріальний баланс сил (реалізм), інституційні механізми співпраці (лібералізм) та колективне сприйняття загроз (конструктивізм) [13].</w:t>
      </w:r>
    </w:p>
    <w:p w14:paraId="4C6377E6" w14:textId="198842A1" w:rsidR="00701430" w:rsidRPr="00701430" w:rsidRDefault="00701430" w:rsidP="00701430">
      <w:pPr>
        <w:pStyle w:val="whitespace-normal"/>
        <w:spacing w:before="0" w:beforeAutospacing="0" w:after="0" w:afterAutospacing="0" w:line="360" w:lineRule="auto"/>
        <w:ind w:firstLine="709"/>
        <w:jc w:val="both"/>
        <w:rPr>
          <w:sz w:val="28"/>
          <w:szCs w:val="28"/>
        </w:rPr>
      </w:pPr>
      <w:r w:rsidRPr="00701430">
        <w:rPr>
          <w:sz w:val="28"/>
          <w:szCs w:val="28"/>
        </w:rPr>
        <w:t xml:space="preserve">Аналіз структури та функціонування системи європейської колективної безпеки потребує комплексного методологічного підходу, здатного охопити множинність акторів, складність інституційних взаємозв'язків та динамічний </w:t>
      </w:r>
      <w:r w:rsidRPr="00701430">
        <w:rPr>
          <w:sz w:val="28"/>
          <w:szCs w:val="28"/>
        </w:rPr>
        <w:lastRenderedPageBreak/>
        <w:t xml:space="preserve">характер трансформаційних процесів у безпековому середовищі. Методологічним фундаментом вивчення сучасної архітектури європейської безпеки виступає багаторівневий аналіз, що дозволяє інтегрувати різнорідні елементи системи та встановити взаємозалежності між наднаціональним, </w:t>
      </w:r>
      <w:proofErr w:type="spellStart"/>
      <w:r w:rsidRPr="00701430">
        <w:rPr>
          <w:sz w:val="28"/>
          <w:szCs w:val="28"/>
        </w:rPr>
        <w:t>міждержавним</w:t>
      </w:r>
      <w:proofErr w:type="spellEnd"/>
      <w:r w:rsidRPr="00701430">
        <w:rPr>
          <w:sz w:val="28"/>
          <w:szCs w:val="28"/>
        </w:rPr>
        <w:t xml:space="preserve"> та </w:t>
      </w:r>
      <w:proofErr w:type="spellStart"/>
      <w:r w:rsidRPr="00701430">
        <w:rPr>
          <w:sz w:val="28"/>
          <w:szCs w:val="28"/>
        </w:rPr>
        <w:t>національним</w:t>
      </w:r>
      <w:proofErr w:type="spellEnd"/>
      <w:r w:rsidRPr="00701430">
        <w:rPr>
          <w:sz w:val="28"/>
          <w:szCs w:val="28"/>
        </w:rPr>
        <w:t xml:space="preserve"> </w:t>
      </w:r>
      <w:proofErr w:type="spellStart"/>
      <w:r w:rsidRPr="00701430">
        <w:rPr>
          <w:sz w:val="28"/>
          <w:szCs w:val="28"/>
        </w:rPr>
        <w:t>рівнями</w:t>
      </w:r>
      <w:proofErr w:type="spellEnd"/>
      <w:r w:rsidRPr="00701430">
        <w:rPr>
          <w:sz w:val="28"/>
          <w:szCs w:val="28"/>
        </w:rPr>
        <w:t xml:space="preserve"> </w:t>
      </w:r>
      <w:proofErr w:type="spellStart"/>
      <w:r w:rsidRPr="00701430">
        <w:rPr>
          <w:sz w:val="28"/>
          <w:szCs w:val="28"/>
        </w:rPr>
        <w:t>прийняття</w:t>
      </w:r>
      <w:proofErr w:type="spellEnd"/>
      <w:r w:rsidRPr="00701430">
        <w:rPr>
          <w:sz w:val="28"/>
          <w:szCs w:val="28"/>
        </w:rPr>
        <w:t xml:space="preserve"> </w:t>
      </w:r>
      <w:proofErr w:type="spellStart"/>
      <w:r w:rsidRPr="00701430">
        <w:rPr>
          <w:sz w:val="28"/>
          <w:szCs w:val="28"/>
        </w:rPr>
        <w:t>рішень</w:t>
      </w:r>
      <w:proofErr w:type="spellEnd"/>
      <w:r>
        <w:rPr>
          <w:sz w:val="28"/>
          <w:szCs w:val="28"/>
          <w:lang w:val="uk-UA"/>
        </w:rPr>
        <w:t xml:space="preserve"> </w:t>
      </w:r>
      <w:r w:rsidRPr="00CE22B8">
        <w:rPr>
          <w:sz w:val="28"/>
          <w:szCs w:val="28"/>
        </w:rPr>
        <w:t>[3]</w:t>
      </w:r>
      <w:r w:rsidRPr="00701430">
        <w:rPr>
          <w:sz w:val="28"/>
          <w:szCs w:val="28"/>
        </w:rPr>
        <w:t>.</w:t>
      </w:r>
    </w:p>
    <w:p w14:paraId="1EFB843B" w14:textId="3F8B735D" w:rsidR="00701430" w:rsidRPr="00701430" w:rsidRDefault="00701430" w:rsidP="00701430">
      <w:pPr>
        <w:pStyle w:val="whitespace-normal"/>
        <w:spacing w:before="0" w:beforeAutospacing="0" w:after="0" w:afterAutospacing="0" w:line="360" w:lineRule="auto"/>
        <w:ind w:firstLine="709"/>
        <w:jc w:val="both"/>
        <w:rPr>
          <w:sz w:val="28"/>
          <w:szCs w:val="28"/>
        </w:rPr>
      </w:pPr>
      <w:r w:rsidRPr="00701430">
        <w:rPr>
          <w:sz w:val="28"/>
          <w:szCs w:val="28"/>
        </w:rPr>
        <w:t>Концептуально-методологічною основою дослідження слугує теорія багаторівневого управління (multi-level governance), розроблена Гері Марксом та Ліссбет Хуге, яка пропонує аналітичну рамку для вивчення складних систем із розподіленими центрами прийняття рішень та розмитими ієрархічними структурами. Відповідно до даної концепції, європейська система колективної безпеки функціонує як результат постійної взаємодії множинних акторів із різними інституційними повноваженнями та функціональними можливостями. Наднаціональний рівень представлений інституціями Європейського Союзу, зокрема Європейською службою зовнішніх дій, Європейським оборонним агентством, структурами Спільної політики безпеки та оборони. Міждержавний рівень охоплює формати колективної взаємодії, серед яких організаційні структури НАТО, Організації з безпеки та співробітництва в Європі, регіональні безпекові ініціативи. Національний рівень формують оборонні та безпекові інституції держав-членів ЄС та НАТО, які зберігають суверенні повноваження у визначенні пріоритетів власної безпекової політики</w:t>
      </w:r>
      <w:r>
        <w:rPr>
          <w:sz w:val="28"/>
          <w:szCs w:val="28"/>
        </w:rPr>
        <w:t xml:space="preserve"> [11]</w:t>
      </w:r>
      <w:r w:rsidRPr="00701430">
        <w:rPr>
          <w:sz w:val="28"/>
          <w:szCs w:val="28"/>
        </w:rPr>
        <w:t>.</w:t>
      </w:r>
    </w:p>
    <w:p w14:paraId="320C7E76" w14:textId="3DB434D4" w:rsidR="00701430" w:rsidRPr="00701430" w:rsidRDefault="00701430" w:rsidP="00701430">
      <w:pPr>
        <w:pStyle w:val="whitespace-normal"/>
        <w:spacing w:before="0" w:beforeAutospacing="0" w:after="0" w:afterAutospacing="0" w:line="360" w:lineRule="auto"/>
        <w:ind w:firstLine="709"/>
        <w:jc w:val="both"/>
        <w:rPr>
          <w:sz w:val="28"/>
          <w:szCs w:val="28"/>
        </w:rPr>
      </w:pPr>
      <w:r w:rsidRPr="00701430">
        <w:rPr>
          <w:sz w:val="28"/>
          <w:szCs w:val="28"/>
        </w:rPr>
        <w:t>Методологія багаторівневого управління дозволяє простежити вертикальні та горизонтальні взаємодії між різними рівнями системи європейської безпеки. Вертикальний аналіз зосереджується на дослідженні процесів «європеїзації» національних безпекових політик, передачі компетенцій від національного до наднаціонального рівня, а також зворотного впливу національних інтересів на формування загальноєвропейських безпекових стратегій. Горизонтальний аналіз спрямований на вивчення взаємодії між різними інституціями одного рівня, зокрема координації безпекових політик між ЄС та НАТО, співпраці регіональних безпекових ініціатив, узгодження національних стратегій у рамках міждержавних форматів</w:t>
      </w:r>
      <w:r>
        <w:rPr>
          <w:sz w:val="28"/>
          <w:szCs w:val="28"/>
        </w:rPr>
        <w:t xml:space="preserve"> [4]</w:t>
      </w:r>
      <w:r w:rsidRPr="00701430">
        <w:rPr>
          <w:sz w:val="28"/>
          <w:szCs w:val="28"/>
        </w:rPr>
        <w:t>.</w:t>
      </w:r>
    </w:p>
    <w:p w14:paraId="245C4318" w14:textId="57C30B26" w:rsidR="00701430" w:rsidRPr="00701430" w:rsidRDefault="00701430" w:rsidP="00701430">
      <w:pPr>
        <w:pStyle w:val="whitespace-normal"/>
        <w:spacing w:before="0" w:beforeAutospacing="0" w:after="0" w:afterAutospacing="0" w:line="360" w:lineRule="auto"/>
        <w:ind w:firstLine="709"/>
        <w:jc w:val="both"/>
        <w:rPr>
          <w:sz w:val="28"/>
          <w:szCs w:val="28"/>
        </w:rPr>
      </w:pPr>
      <w:r w:rsidRPr="00701430">
        <w:rPr>
          <w:sz w:val="28"/>
          <w:szCs w:val="28"/>
        </w:rPr>
        <w:lastRenderedPageBreak/>
        <w:t>Багаторівневий аналіз європейської колективної безпеки вимагає розробки спеціального методологічного інструментарію для дослідження специфічних форм взаємодії між різними рівнями. Для вивчення процесів прийняття рішень на наднаціональному рівні доцільним є застосування методів аналізу політичних мереж (policy networks analysis), що дозволяють ідентифікувати формальні та неформальні зв'язки між різними акторами європейської безпекової політики, виявити структуру впливу та простежити канали комунікації між стейкхолдерами. Дослідження міждержавного рівня потребує використання інструментарію теорії міжнародних режимів, що дає можливість аналізувати нормативні рамки колективної безпеки, механізми дотримання спільних правил та санкцій за порушення домовленостей. Національний рівень безпекової політики вивчається за допомогою методів порівняльного аналізу, що дозволяють виявити спільні та відмінні риси у стратегічних підходах різних європейських держав до забезпечення колективної безпеки</w:t>
      </w:r>
      <w:r>
        <w:rPr>
          <w:sz w:val="28"/>
          <w:szCs w:val="28"/>
        </w:rPr>
        <w:t xml:space="preserve"> [2]</w:t>
      </w:r>
      <w:r w:rsidRPr="00701430">
        <w:rPr>
          <w:sz w:val="28"/>
          <w:szCs w:val="28"/>
        </w:rPr>
        <w:t>.</w:t>
      </w:r>
    </w:p>
    <w:p w14:paraId="0286BB7A" w14:textId="77777777" w:rsidR="00701430" w:rsidRPr="00701430" w:rsidRDefault="00701430" w:rsidP="00701430">
      <w:pPr>
        <w:pStyle w:val="whitespace-normal"/>
        <w:spacing w:before="0" w:beforeAutospacing="0" w:after="0" w:afterAutospacing="0" w:line="360" w:lineRule="auto"/>
        <w:ind w:firstLine="709"/>
        <w:jc w:val="both"/>
        <w:rPr>
          <w:sz w:val="28"/>
          <w:szCs w:val="28"/>
        </w:rPr>
      </w:pPr>
      <w:r w:rsidRPr="00701430">
        <w:rPr>
          <w:sz w:val="28"/>
          <w:szCs w:val="28"/>
        </w:rPr>
        <w:t>Методологічно важливим елементом дослідження європейської колективної безпеки є розрізнення між формальними та неформальними інститутами. Формальні інститути включають офіційні структури, зафіксовані в договорах, статутах та інших нормативних документах, серед яких органи управління ЄС у сфері безпеки та оборони, командні структури НАТО, механізми спільного реагування на загрози. Неформальні інститути охоплюють усталені практики, неписані норми поведінки, експертні мережі, що формуються поза офіційними структурами, але мають істотний вплив на функціонування системи безпеки. Розмежування формального та неформального аспектів дозволяє виявити розбіжності між задекларованими принципами та реальними практиками, пояснити випадки інституційної інерції або адаптивності за умов зміни безпекового середовища.</w:t>
      </w:r>
    </w:p>
    <w:p w14:paraId="05D2DCF0" w14:textId="77777777" w:rsidR="00701430" w:rsidRPr="00701430" w:rsidRDefault="00701430" w:rsidP="00701430">
      <w:pPr>
        <w:pStyle w:val="whitespace-normal"/>
        <w:spacing w:before="0" w:beforeAutospacing="0" w:after="0" w:afterAutospacing="0" w:line="360" w:lineRule="auto"/>
        <w:ind w:firstLine="709"/>
        <w:jc w:val="both"/>
        <w:rPr>
          <w:sz w:val="28"/>
          <w:szCs w:val="28"/>
        </w:rPr>
      </w:pPr>
      <w:r w:rsidRPr="00701430">
        <w:rPr>
          <w:sz w:val="28"/>
          <w:szCs w:val="28"/>
        </w:rPr>
        <w:t xml:space="preserve">Методологія дослідження інституційної динаміки європейської системи колективної безпеки спирається на порівняльний інституційний аналіз, розроблений Кетлін Телен та Полом Піерсоном. Даний підхід пропонує аналітичний інструментарій для вивчення процесів інституційних змін, </w:t>
      </w:r>
      <w:r w:rsidRPr="00701430">
        <w:rPr>
          <w:sz w:val="28"/>
          <w:szCs w:val="28"/>
        </w:rPr>
        <w:lastRenderedPageBreak/>
        <w:t>вирізняючи різні механізми трансформації: нашарування (layering) — додавання нових елементів до існуючих інституційних структур; конверсія (conversion) — перепрофілювання існуючих інституцій для виконання нових функцій; дрейф (drift) — поступова зміна функціонування інституцій внаслідок зміни зовнішнього середовища без формальної реструктуризації; витіснення (displacement) — заміна старих інституцій новими внаслідок радикальних змін у безпековому середовищі.</w:t>
      </w:r>
    </w:p>
    <w:p w14:paraId="05729DB6" w14:textId="77777777" w:rsidR="00701430" w:rsidRPr="00701430" w:rsidRDefault="00701430" w:rsidP="00701430">
      <w:pPr>
        <w:pStyle w:val="whitespace-normal"/>
        <w:spacing w:before="0" w:beforeAutospacing="0" w:after="0" w:afterAutospacing="0" w:line="360" w:lineRule="auto"/>
        <w:ind w:firstLine="709"/>
        <w:jc w:val="both"/>
        <w:rPr>
          <w:sz w:val="28"/>
          <w:szCs w:val="28"/>
        </w:rPr>
      </w:pPr>
      <w:r w:rsidRPr="00701430">
        <w:rPr>
          <w:sz w:val="28"/>
          <w:szCs w:val="28"/>
        </w:rPr>
        <w:t>Російсько-українська війна, що розпочалася з анексії Криму в 2014 році та переросла у повномасштабне вторгнення 2022 року, стала «критичним моментом» (critical juncture) для європейської системи колективної безпеки, спровокувавши інтенсивні інституційні трансформації. Методологічний інструментарій порівняльного інституційного аналізу дозволяє прослідкувати механізми адаптації європейських безпекових інституцій до нових геополітичних реалій. Процес нашарування проявляється у створенні нових структур у рамках існуючих інституцій, таких як Європейський фонд оборони, Постійне структуроване співробітництво з питань безпеки та оборони (PESCO), механізми посиленого передового базування НАТО в країнах Східної Європи. Конверсія спостерігається у переорієнтації діяльності Європейського оборонного агентства з координації досліджень на забезпечення оперативної сумісності озброєнь європейських армій. Дрейф проявляється у поступовій трансформації ролі ОБСЄ з форуму діалогу на механізм моніторингу порушень міжнародного права в зоні конфлікту. Витіснення як найбільш радикальний механізм зміни помітний у відмові від попередніх форматів безпекового діалогу з Росією та формуванні нових оборонних ініціатив, орієнтованих на протидію російській агресії.</w:t>
      </w:r>
    </w:p>
    <w:p w14:paraId="19191446" w14:textId="77777777" w:rsidR="00701430" w:rsidRPr="00701430" w:rsidRDefault="00701430" w:rsidP="00701430">
      <w:pPr>
        <w:pStyle w:val="whitespace-normal"/>
        <w:spacing w:before="0" w:beforeAutospacing="0" w:after="0" w:afterAutospacing="0" w:line="360" w:lineRule="auto"/>
        <w:ind w:firstLine="709"/>
        <w:jc w:val="both"/>
        <w:rPr>
          <w:sz w:val="28"/>
          <w:szCs w:val="28"/>
        </w:rPr>
      </w:pPr>
      <w:r w:rsidRPr="00701430">
        <w:rPr>
          <w:sz w:val="28"/>
          <w:szCs w:val="28"/>
        </w:rPr>
        <w:t xml:space="preserve">Методологічний інструментарій дослідження європейської колективної безпеки розширюється завдяки залученню концепції стратегічної культури, яка фокусується на аналізі глибинних переконань, цінностей та норм, що визначають підходи різних акторів до питань безпеки та оборони. Стратегічна культура формується історичним досвідом, геополітичним положенням, </w:t>
      </w:r>
      <w:r w:rsidRPr="00701430">
        <w:rPr>
          <w:sz w:val="28"/>
          <w:szCs w:val="28"/>
        </w:rPr>
        <w:lastRenderedPageBreak/>
        <w:t>внутрішньополітичними факторами та колективною пам'яттю, впливаючи на сприйняття загроз та визначення адекватних реакцій на них. Аналіз відмінностей у стратегічних культурах європейських держав дозволяє пояснити розбіжності в оцінках безпекової ситуації та підходах до розбудови колективної системи захисту.</w:t>
      </w:r>
    </w:p>
    <w:p w14:paraId="722B8660" w14:textId="77777777" w:rsidR="00701430" w:rsidRPr="00701430" w:rsidRDefault="00701430" w:rsidP="00701430">
      <w:pPr>
        <w:pStyle w:val="whitespace-normal"/>
        <w:spacing w:before="0" w:beforeAutospacing="0" w:after="0" w:afterAutospacing="0" w:line="360" w:lineRule="auto"/>
        <w:ind w:firstLine="709"/>
        <w:jc w:val="both"/>
        <w:rPr>
          <w:sz w:val="28"/>
          <w:szCs w:val="28"/>
        </w:rPr>
      </w:pPr>
      <w:r w:rsidRPr="00701430">
        <w:rPr>
          <w:sz w:val="28"/>
          <w:szCs w:val="28"/>
        </w:rPr>
        <w:t>Лонгітюдний аналіз трансформації європейської системи колективної безпеки передбачає виділення етапів її розвитку та ідентифікацію точок біфуркації, коли відбувається зміна парадигми безпекового мислення. Методологічно обґрунтованою є періодизація, що враховує геополітичні зрушення, інституційні реформи та еволюцію стратегічних концепцій. Завершення «холодної війни» та розпад біполярної системи міжнародних відносин, розширення НАТО та ЄС на Схід, терористичні атаки 11 вересня 2001 року, російсько-грузинська війна 2008 року, анексія Криму та початок гібридної війни на Донбасі в 2014 році, повномасштабне вторгнення Росії в Україну 2022 року — усі ці події позначають рубіжні моменти в розвитку європейської системи колективної безпеки, потребуючи спеціального методологічного підходу до аналізу.</w:t>
      </w:r>
    </w:p>
    <w:p w14:paraId="0ACF05CE" w14:textId="77777777" w:rsidR="00701430" w:rsidRPr="00701430" w:rsidRDefault="00701430" w:rsidP="00701430">
      <w:pPr>
        <w:pStyle w:val="whitespace-normal"/>
        <w:spacing w:before="0" w:beforeAutospacing="0" w:after="0" w:afterAutospacing="0" w:line="360" w:lineRule="auto"/>
        <w:ind w:firstLine="709"/>
        <w:jc w:val="both"/>
        <w:rPr>
          <w:sz w:val="28"/>
          <w:szCs w:val="28"/>
        </w:rPr>
      </w:pPr>
      <w:r w:rsidRPr="00701430">
        <w:rPr>
          <w:sz w:val="28"/>
          <w:szCs w:val="28"/>
        </w:rPr>
        <w:t>Важливим методологічним аспектом дослідження європейської колективної безпеки є розрізнення між символічною та функціональною вимірами безпекової політики. Символічний вимір включає декларації, стратегічні документи, публічні заяви, що артикулюють безпекові наративи та формують дискурсивні рамки сприйняття загроз. Функціональний вимір охоплює конкретні практики, ресурсні вкладення, матеріальні спроможності, що визначають реальну здатність системи протистояти викликам. Методологія критичного дискурс-аналізу дозволяє дослідити взаємодію між дискурсивними конструкціями безпекових загроз та матеріальними практиками реагування на них, виявляючи розриви між риторикою та реальними діями.</w:t>
      </w:r>
    </w:p>
    <w:p w14:paraId="431E615D" w14:textId="77777777" w:rsidR="00701430" w:rsidRPr="00701430" w:rsidRDefault="00701430" w:rsidP="00701430">
      <w:pPr>
        <w:pStyle w:val="whitespace-normal"/>
        <w:spacing w:before="0" w:beforeAutospacing="0" w:after="0" w:afterAutospacing="0" w:line="360" w:lineRule="auto"/>
        <w:ind w:firstLine="709"/>
        <w:jc w:val="both"/>
        <w:rPr>
          <w:sz w:val="28"/>
          <w:szCs w:val="28"/>
        </w:rPr>
      </w:pPr>
      <w:r w:rsidRPr="00701430">
        <w:rPr>
          <w:sz w:val="28"/>
          <w:szCs w:val="28"/>
        </w:rPr>
        <w:t xml:space="preserve">Аналіз європейської системи колективної безпеки вимагає врахування множинності загроз та їх асиметричного характеру. Методологічно обґрунтованим є використання типології загроз, що дозволяє класифікувати </w:t>
      </w:r>
      <w:r w:rsidRPr="00701430">
        <w:rPr>
          <w:sz w:val="28"/>
          <w:szCs w:val="28"/>
        </w:rPr>
        <w:lastRenderedPageBreak/>
        <w:t>виклики безпеці за походженням (внутрішні/зовнішні), джерелом (державні/недержавні актори), інтенсивністю (високої/низької інтенсивності), сферою прояву (військові, економічні, інформаційні, кібернетичні, екологічні). Багатовимірний характер сучасних загроз потребує комплексного методологічного підходу, що інтегрує інструментарій різних наукових дисциплін: політології, міжнародних відносин, безпекових студій, військової науки, економіки, соціології, психології.</w:t>
      </w:r>
    </w:p>
    <w:p w14:paraId="7F8A0918" w14:textId="77777777" w:rsidR="00701430" w:rsidRPr="00701430" w:rsidRDefault="00701430" w:rsidP="00701430">
      <w:pPr>
        <w:pStyle w:val="whitespace-normal"/>
        <w:spacing w:before="0" w:beforeAutospacing="0" w:after="0" w:afterAutospacing="0" w:line="360" w:lineRule="auto"/>
        <w:ind w:firstLine="709"/>
        <w:jc w:val="both"/>
        <w:rPr>
          <w:sz w:val="28"/>
          <w:szCs w:val="28"/>
        </w:rPr>
      </w:pPr>
      <w:r w:rsidRPr="00701430">
        <w:rPr>
          <w:sz w:val="28"/>
          <w:szCs w:val="28"/>
        </w:rPr>
        <w:t>Дослідження реакції європейської системи колективної безпеки на російську агресію проти України потребує застосування методології аналізу процесу прийняття рішень у кризових ситуаціях. Даний підхід фокусується на вивченні механізмів обробки інформації, оцінки ризиків, формування альтернатив та вибору оптимальних стратегій реагування в умовах невизначеності та часових обмежень. Аналіз кризових рішень європейських інституцій щодо надання військової допомоги Україні, запровадження санкцій проти Росії, зміцнення оборонних спроможностей Східного флангу НАТО дозволяє виявити сильні та слабкі сторони європейської системи колективної безпеки, оцінити її адаптивність та ефективність за умов геополітичних потрясінь.</w:t>
      </w:r>
    </w:p>
    <w:p w14:paraId="6D8BD587" w14:textId="77777777" w:rsidR="00701430" w:rsidRPr="00701430" w:rsidRDefault="00701430" w:rsidP="00701430">
      <w:pPr>
        <w:pStyle w:val="whitespace-normal"/>
        <w:spacing w:before="0" w:beforeAutospacing="0" w:after="0" w:afterAutospacing="0" w:line="360" w:lineRule="auto"/>
        <w:ind w:firstLine="709"/>
        <w:jc w:val="both"/>
        <w:rPr>
          <w:sz w:val="28"/>
          <w:szCs w:val="28"/>
        </w:rPr>
      </w:pPr>
      <w:r w:rsidRPr="00701430">
        <w:rPr>
          <w:sz w:val="28"/>
          <w:szCs w:val="28"/>
        </w:rPr>
        <w:t>Актуальною методологічною проблемою дослідження європейської колективної безпеки залишається операціоналізація концепту «стратегічної автономії» ЄС, що передбачає розробку вимірюваних індикаторів для оцінки рівня самостійності Європи у забезпеченні власної безпеки. Операціоналізація включає виділення ключових компонентів стратегічної автономії: військово-технічного (здатність самостійно забезпечувати військові потреби), політичного (здатність формулювати та реалізовувати незалежну стратегію), економічного (здатність мобілізувати ресурси для безпекових цілей). Для кожного компонента розробляються індикатори, що дозволяють кількісно та якісно оцінити рівень автономності європейських безпекових структур від зовнішніх акторів, передусім США.</w:t>
      </w:r>
    </w:p>
    <w:p w14:paraId="288B86F8" w14:textId="77777777" w:rsidR="00701430" w:rsidRPr="00701430" w:rsidRDefault="00701430" w:rsidP="00701430">
      <w:pPr>
        <w:pStyle w:val="whitespace-normal"/>
        <w:spacing w:before="0" w:beforeAutospacing="0" w:after="0" w:afterAutospacing="0" w:line="360" w:lineRule="auto"/>
        <w:ind w:firstLine="709"/>
        <w:jc w:val="both"/>
        <w:rPr>
          <w:sz w:val="28"/>
          <w:szCs w:val="28"/>
        </w:rPr>
      </w:pPr>
      <w:r w:rsidRPr="00701430">
        <w:rPr>
          <w:sz w:val="28"/>
          <w:szCs w:val="28"/>
        </w:rPr>
        <w:lastRenderedPageBreak/>
        <w:t>Методологія аналізу інституційних взаємодій у сфері європейської колективної безпеки повинна враховувати проблему дублювання функцій та конкуренції між різними безпековими організаціями. Для дослідження складних взаємозв'язків між ЄС, НАТО, ОБСЄ та іншими безпековими структурами доцільним є застосування мережевого аналізу, що дозволяє візуалізувати та кількісно оцінити інтенсивність співпраці, виявити ключових акторів мережі, ідентифікувати «вузькі місця» у комунікації між різними організаціями.</w:t>
      </w:r>
    </w:p>
    <w:p w14:paraId="0BC5935E" w14:textId="77777777" w:rsidR="00701430" w:rsidRPr="00701430" w:rsidRDefault="00701430" w:rsidP="00701430">
      <w:pPr>
        <w:pStyle w:val="whitespace-normal"/>
        <w:spacing w:before="0" w:beforeAutospacing="0" w:after="0" w:afterAutospacing="0" w:line="360" w:lineRule="auto"/>
        <w:ind w:firstLine="709"/>
        <w:jc w:val="both"/>
        <w:rPr>
          <w:sz w:val="28"/>
          <w:szCs w:val="28"/>
        </w:rPr>
      </w:pPr>
      <w:r w:rsidRPr="00701430">
        <w:rPr>
          <w:sz w:val="28"/>
          <w:szCs w:val="28"/>
        </w:rPr>
        <w:t>Застосування методології багаторівневого аналізу до дослідження європейської колективної безпеки дозволяє подолати обмеження традиційних підходів, що зосереджуються лише на одному аспекті проблеми. Інтегративний характер даної методології забезпечує врахування взаємодії між різними рівнями системи, виявлення динаміки її розвитку та прогнозування можливих напрямків трансформації архітектури європейської безпеки в умовах посилення геополітичного протистояння. Російсько-українська війна, спровокувавши радикальні зміни у європейському безпековому середовищі, підтвердила необхідність комплексного методологічного підходу, здатного охопити множинність факторів, що впливають на еволюцію системи колективного захисту європейського континенту.</w:t>
      </w:r>
    </w:p>
    <w:p w14:paraId="2681AFB2" w14:textId="77777777" w:rsidR="006533B3" w:rsidRPr="006533B3" w:rsidRDefault="006533B3" w:rsidP="006533B3">
      <w:pPr>
        <w:pStyle w:val="whitespace-normal"/>
        <w:spacing w:before="0" w:beforeAutospacing="0" w:after="0" w:afterAutospacing="0" w:line="360" w:lineRule="auto"/>
        <w:ind w:firstLine="709"/>
        <w:jc w:val="both"/>
        <w:rPr>
          <w:sz w:val="28"/>
          <w:szCs w:val="28"/>
        </w:rPr>
      </w:pPr>
      <w:r w:rsidRPr="006533B3">
        <w:rPr>
          <w:sz w:val="28"/>
          <w:szCs w:val="28"/>
        </w:rPr>
        <w:t xml:space="preserve">Методологічні інновації у дослідженні європейської колективної безпеки пов'язані з розвитком підходів до аналізу гібридних загроз та комплексних безпекових викликів. Концепція секторної безпеки, розроблена представниками Копенгагенської школи (Баррі Бузан, Оле Вевер, Яап де Вільде), виокремлює військовий, політичний, економічний, соціетальний та екологічний сектори безпеки, що дозволяє комплексно аналізувати багатовимірний характер сучасних загроз. Теорія секьюритизації пояснює, як певні проблеми трансформуються в безпекові виклики через дискурсивні практики та мовленнєві акти політичних еліт. Паризька школа безпекових досліджень (Дідьє Біго, Джеф Гайсманс) фокусується на практиках безпеки та роботі професійних спільнот безпеки у формуванні безпекової політики. Концепція стратегічної культури, розвинута Аластером Джонстоном, Крістофом Мейєром та Бастіаном Гірманном, дозволяє </w:t>
      </w:r>
      <w:r w:rsidRPr="006533B3">
        <w:rPr>
          <w:sz w:val="28"/>
          <w:szCs w:val="28"/>
        </w:rPr>
        <w:lastRenderedPageBreak/>
        <w:t>аналізувати, як історичний досвід, культурні норми та колективні уявлення формують підходи держав до використання військової сили та участі в системах колективної безпеки [15].</w:t>
      </w:r>
    </w:p>
    <w:p w14:paraId="583E1861" w14:textId="77777777" w:rsidR="006533B3" w:rsidRPr="006533B3" w:rsidRDefault="006533B3" w:rsidP="006533B3">
      <w:pPr>
        <w:pStyle w:val="whitespace-normal"/>
        <w:spacing w:before="0" w:beforeAutospacing="0" w:after="0" w:afterAutospacing="0" w:line="360" w:lineRule="auto"/>
        <w:ind w:firstLine="709"/>
        <w:jc w:val="both"/>
        <w:rPr>
          <w:sz w:val="28"/>
          <w:szCs w:val="28"/>
        </w:rPr>
      </w:pPr>
      <w:r w:rsidRPr="006533B3">
        <w:rPr>
          <w:sz w:val="28"/>
          <w:szCs w:val="28"/>
        </w:rPr>
        <w:t>Для аналізу інституційної архітектури європейської колективної безпеки продуктивним є застосування концепції безпекових комплексів, розробленої Баррі Бузаном та Оле Вевером. Регіональний безпековий комплекс визначається як група держав, безпекові проблеми яких настільки тісно пов'язані, що їхні національні безпеки не можуть розглядатися окремо одна від одної. Європейський безпековий комплекс характеризується високим рівнем інституціоналізації, наявністю формальних та неформальних механізмів координації та специфічним співвідношенням між внутрішніми та зовнішніми акторами. Російсько-українська війна призвела до трансформації європейського безпекового комплексу, посиливши роль НАТО, стимулювавши інституційний розвиток СПБО та змінивши конфігурацію безпекових взаємодій на континенті. Методологічно важливим є аналіз динаміки процесів інтеграції/дезінтеграції, включення/виключення та внутрішньої/зовнішньої трансформації безпекового комплексу під впливом російської агресії [16].</w:t>
      </w:r>
    </w:p>
    <w:p w14:paraId="613A1D79" w14:textId="77777777" w:rsidR="006533B3" w:rsidRPr="006533B3" w:rsidRDefault="006533B3" w:rsidP="006533B3">
      <w:pPr>
        <w:pStyle w:val="whitespace-normal"/>
        <w:spacing w:before="0" w:beforeAutospacing="0" w:after="0" w:afterAutospacing="0" w:line="360" w:lineRule="auto"/>
        <w:ind w:firstLine="709"/>
        <w:jc w:val="both"/>
        <w:rPr>
          <w:sz w:val="28"/>
          <w:szCs w:val="28"/>
        </w:rPr>
      </w:pPr>
      <w:r w:rsidRPr="006533B3">
        <w:rPr>
          <w:sz w:val="28"/>
          <w:szCs w:val="28"/>
        </w:rPr>
        <w:t>Сучасні методологічні підходи до дослідження колективної безпеки ЄС приділяють значну увагу аналізу процесів прийняття рішень та стратегічної взаємодії акторів. Теорія ігор, раціонального вибору та просторового моделювання дозволяють формалізувати стратегічні взаємодії між державами-членами ЄС у процесі формування безпекової політики. Аналіз коаліційної динаміки допомагає зрозуміти формування блоків держав зі спільними безпековими інтересами та преференціями. Процес-трейсинг (process-tracing) як методологічний підхід дозволяє відстежити причинно-наслідкові зв'язки між російською агресією та конкретними трансформаціями в безпековій політиці ЄС, виявляючи механізми, через які зовнішні шоки призводять до інституційних та політичних змін. Методи якісного порівняльного аналізу (QCA) можуть бути застосовані для виявлення комбінацій факторів, що визначають різні підходи держав-членів до посилення колективної безпеки [17].</w:t>
      </w:r>
    </w:p>
    <w:p w14:paraId="0D899BCD" w14:textId="77777777" w:rsidR="006533B3" w:rsidRDefault="006533B3" w:rsidP="006533B3">
      <w:pPr>
        <w:pStyle w:val="whitespace-normal"/>
        <w:spacing w:before="0" w:beforeAutospacing="0" w:after="0" w:afterAutospacing="0" w:line="360" w:lineRule="auto"/>
        <w:ind w:firstLine="709"/>
        <w:jc w:val="both"/>
        <w:rPr>
          <w:sz w:val="28"/>
          <w:szCs w:val="28"/>
          <w:lang w:val="uk-UA"/>
        </w:rPr>
      </w:pPr>
      <w:r w:rsidRPr="006533B3">
        <w:rPr>
          <w:sz w:val="28"/>
          <w:szCs w:val="28"/>
        </w:rPr>
        <w:lastRenderedPageBreak/>
        <w:t>Результативне дослідження колективної безпеки ЄС в умовах російсько-української війни потребує інтеграції різних теоретичних підходів та методологічних інструментів для забезпечення комплексного розуміння складних трансформаційних процесів. Аналітичний еклектизм, запропонований Рудрою Сілом та Пітером Катценштейном, забезпечує методологічну основу для поєднання різних теоретичних перспектив, уникаючи жорсткої прив'язки до однієї парадигми. Прагматичний плюралізм методів дослідження дозволяє врахувати багатовимірний характер європейської безпеки, поєднуючи кількісні та якісні методи, макро- та мікроаналіз, дедуктивні та індуктивні підходи. Така методологічна стратегія відповідає складності об'єкта дослідження та дозволяє виявити не лише явні, але й латентні процеси трансформації колективної безпеки ЄС під впливом російської агресії проти України [18].</w:t>
      </w:r>
    </w:p>
    <w:p w14:paraId="58133A73" w14:textId="77777777" w:rsidR="0012394F" w:rsidRPr="0012394F" w:rsidRDefault="0012394F" w:rsidP="006533B3">
      <w:pPr>
        <w:pStyle w:val="whitespace-normal"/>
        <w:spacing w:before="0" w:beforeAutospacing="0" w:after="0" w:afterAutospacing="0" w:line="360" w:lineRule="auto"/>
        <w:ind w:firstLine="709"/>
        <w:jc w:val="both"/>
        <w:rPr>
          <w:sz w:val="28"/>
          <w:szCs w:val="28"/>
          <w:lang w:val="uk-UA"/>
        </w:rPr>
      </w:pPr>
    </w:p>
    <w:p w14:paraId="732AD013" w14:textId="77777777" w:rsidR="006533B3" w:rsidRPr="006533B3" w:rsidRDefault="006533B3" w:rsidP="0012394F">
      <w:pPr>
        <w:pStyle w:val="2"/>
      </w:pPr>
      <w:bookmarkStart w:id="4" w:name="_Toc198089412"/>
      <w:r w:rsidRPr="006533B3">
        <w:t xml:space="preserve">1.2 </w:t>
      </w:r>
      <w:proofErr w:type="spellStart"/>
      <w:r w:rsidRPr="006533B3">
        <w:t>Еволюція</w:t>
      </w:r>
      <w:proofErr w:type="spellEnd"/>
      <w:r w:rsidRPr="006533B3">
        <w:t xml:space="preserve"> </w:t>
      </w:r>
      <w:proofErr w:type="spellStart"/>
      <w:r w:rsidRPr="006533B3">
        <w:t>архітектури</w:t>
      </w:r>
      <w:proofErr w:type="spellEnd"/>
      <w:r w:rsidRPr="006533B3">
        <w:t xml:space="preserve"> </w:t>
      </w:r>
      <w:proofErr w:type="spellStart"/>
      <w:r w:rsidRPr="006533B3">
        <w:t>безпеки</w:t>
      </w:r>
      <w:proofErr w:type="spellEnd"/>
      <w:r w:rsidRPr="006533B3">
        <w:t xml:space="preserve"> та оборони ЄС </w:t>
      </w:r>
      <w:proofErr w:type="gramStart"/>
      <w:r w:rsidRPr="006533B3">
        <w:t>до початку</w:t>
      </w:r>
      <w:proofErr w:type="gramEnd"/>
      <w:r w:rsidRPr="006533B3">
        <w:t xml:space="preserve"> </w:t>
      </w:r>
      <w:proofErr w:type="spellStart"/>
      <w:r w:rsidRPr="006533B3">
        <w:t>повномасштабної</w:t>
      </w:r>
      <w:proofErr w:type="spellEnd"/>
      <w:r w:rsidRPr="006533B3">
        <w:t xml:space="preserve"> </w:t>
      </w:r>
      <w:proofErr w:type="spellStart"/>
      <w:r w:rsidRPr="006533B3">
        <w:t>російсько-української</w:t>
      </w:r>
      <w:proofErr w:type="spellEnd"/>
      <w:r w:rsidRPr="006533B3">
        <w:t xml:space="preserve"> </w:t>
      </w:r>
      <w:proofErr w:type="spellStart"/>
      <w:r w:rsidRPr="006533B3">
        <w:t>війни</w:t>
      </w:r>
      <w:bookmarkEnd w:id="4"/>
      <w:proofErr w:type="spellEnd"/>
    </w:p>
    <w:p w14:paraId="4C7D697B" w14:textId="77777777" w:rsidR="006533B3" w:rsidRPr="006533B3" w:rsidRDefault="006533B3" w:rsidP="006533B3">
      <w:pPr>
        <w:pStyle w:val="whitespace-normal"/>
        <w:spacing w:before="0" w:beforeAutospacing="0" w:after="0" w:afterAutospacing="0" w:line="360" w:lineRule="auto"/>
        <w:ind w:firstLine="709"/>
        <w:jc w:val="both"/>
        <w:rPr>
          <w:sz w:val="28"/>
          <w:szCs w:val="28"/>
        </w:rPr>
      </w:pPr>
      <w:r w:rsidRPr="006533B3">
        <w:rPr>
          <w:sz w:val="28"/>
          <w:szCs w:val="28"/>
        </w:rPr>
        <w:t>Формування архітектури безпеки та оборони Європейського Союзу відбувалося протягом тривалого історичного періоду, характеризуючись нелінійним розвитком, періодами прискорення та стагнації, що відображало складну динаміку європейської інтеграції та мінливість геополітичного середовища. Перші спроби інституціоналізації європейської оборонної співпраці були здійснені в перші повоєнні роки, коли західноєвропейські держави намагалися створити механізми колективного захисту від можливої радянської агресії. Брюссельський договір 1948 року, підписаний Великою Британією, Францією, Бельгією, Нідерландами та Люксембургом, передбачав взаємні гарантії колективної оборони та став першим кроком до формування Західноєвропейського союзу (ЗЄС). Паралельно з розвитком ЗЄС відбувалося формування трансатлантичної системи безпеки через створення НАТО в 1949 році, що на тривалий період визначило домінування атлантичного підходу до забезпечення європейської безпеки [19].</w:t>
      </w:r>
    </w:p>
    <w:p w14:paraId="024461D7" w14:textId="77777777" w:rsidR="006533B3" w:rsidRPr="006533B3" w:rsidRDefault="006533B3" w:rsidP="006533B3">
      <w:pPr>
        <w:pStyle w:val="whitespace-normal"/>
        <w:spacing w:before="0" w:beforeAutospacing="0" w:after="0" w:afterAutospacing="0" w:line="360" w:lineRule="auto"/>
        <w:ind w:firstLine="709"/>
        <w:jc w:val="both"/>
        <w:rPr>
          <w:sz w:val="28"/>
          <w:szCs w:val="28"/>
        </w:rPr>
      </w:pPr>
      <w:r w:rsidRPr="006533B3">
        <w:rPr>
          <w:sz w:val="28"/>
          <w:szCs w:val="28"/>
        </w:rPr>
        <w:lastRenderedPageBreak/>
        <w:t>Амбітна спроба створення автономної європейської системи оборони була здійснена в 1950 році, коли французький прем'єр-міністр Рене Плевен запропонував план формування Європейського оборонного співтовариства (ЄОС) з інтегрованими європейськими збройними силами. План Плевена передбачав створення наднаціональної європейської армії під єдиним політичним та військовим керівництвом, що мало забезпечити контрольоване включення Західної Німеччини до системи європейської оборони. Незважаючи на підписання Договору про ЄОС у 1952 році шістьма державами (Франція, ФРН, Італія, Бельгія, Нідерланди, Люксембург), проєкт не був реалізований через відмову французького парламенту ратифікувати договір у 1954 році. Провал ЄОС став поворотним моментом, що на десятиліття відклав формування автономної європейської оборонної політики та закріпив домінуючу роль НАТО в забезпеченні європейської безпеки [20].</w:t>
      </w:r>
    </w:p>
    <w:p w14:paraId="146A1388" w14:textId="77777777" w:rsidR="006533B3" w:rsidRPr="006533B3" w:rsidRDefault="006533B3" w:rsidP="006533B3">
      <w:pPr>
        <w:pStyle w:val="whitespace-normal"/>
        <w:spacing w:before="0" w:beforeAutospacing="0" w:after="0" w:afterAutospacing="0" w:line="360" w:lineRule="auto"/>
        <w:ind w:firstLine="709"/>
        <w:jc w:val="both"/>
        <w:rPr>
          <w:sz w:val="28"/>
          <w:szCs w:val="28"/>
        </w:rPr>
      </w:pPr>
      <w:r w:rsidRPr="006533B3">
        <w:rPr>
          <w:sz w:val="28"/>
          <w:szCs w:val="28"/>
        </w:rPr>
        <w:t>Період 1950-1980-х років характеризувався відносною маргіналізацією безпекових та оборонних питань у процесі європейської інтеграції, що розвивалася переважно в економічній сфері. Європейські спільноти (ЄОВС, ЄЕС, Євратом) зосереджувалися на економічній інтеграції та формуванні спільного ринку, залишаючи питання безпеки та оборони поза межами своєї компетенції. Західноєвропейський союз, реформований згідно з Паризькими угодами 1954 року, залишався міждержавною організацією з обмеженими оперативними можливостями, що слугувала переважно платформою для політичних консультацій. Холодна війна, біполярна структура міжнародної системи та стратегічна залежність Західної Європи від американських безпекових гарантій стримували розвиток автономної європейської оборонної політики. Спроби Франції при президенті Шарлю де Голлі посилити європейську автономію у сфері безпеки, зокрема через план Фуше (1961-1962), не знайшли підтримки інших держав-членів ЄЕС, які побоювалися послаблення трансатлантичних зв'язків [21].</w:t>
      </w:r>
    </w:p>
    <w:p w14:paraId="447BF225" w14:textId="77777777" w:rsidR="006533B3" w:rsidRPr="006533B3" w:rsidRDefault="006533B3" w:rsidP="006533B3">
      <w:pPr>
        <w:pStyle w:val="whitespace-normal"/>
        <w:spacing w:before="0" w:beforeAutospacing="0" w:after="0" w:afterAutospacing="0" w:line="360" w:lineRule="auto"/>
        <w:ind w:firstLine="709"/>
        <w:jc w:val="both"/>
        <w:rPr>
          <w:sz w:val="28"/>
          <w:szCs w:val="28"/>
        </w:rPr>
      </w:pPr>
      <w:r w:rsidRPr="006533B3">
        <w:rPr>
          <w:sz w:val="28"/>
          <w:szCs w:val="28"/>
        </w:rPr>
        <w:t xml:space="preserve">Фундаментальні геополітичні зрушення кінця 1980-х - початку 1990-х років, пов'язані з розпадом соціалістичного блоку, об'єднанням Німеччини та </w:t>
      </w:r>
      <w:r w:rsidRPr="006533B3">
        <w:rPr>
          <w:sz w:val="28"/>
          <w:szCs w:val="28"/>
        </w:rPr>
        <w:lastRenderedPageBreak/>
        <w:t>завершенням холодної війни, створили нову стратегічну реальність, що стимулювала переосмислення ролі Європейського Співтовариства у сфері безпеки та оборони. Маастрихтський договір 1992 року, що трансформував Європейське Економічне Співтовариство в Європейський Союз, запровадив Спільну зовнішню політику та політику безпеки (СЗППБ) як другу опору ЄС. СЗППБ забезпечила інституційні рамки для координації зовнішньополітичних позицій держав-членів та потенційно включала «поступове формулювання спільної оборонної політики, яка могла б призвести до спільної оборони». Західноєвропейський союз визначався як «інтегральна частина розвитку Європейського Союзу», на яку покладалася розробка та імплементація рішень ЄС з оборонних питань [22].</w:t>
      </w:r>
    </w:p>
    <w:p w14:paraId="62054696" w14:textId="77777777" w:rsidR="006533B3" w:rsidRPr="006533B3" w:rsidRDefault="006533B3" w:rsidP="006533B3">
      <w:pPr>
        <w:pStyle w:val="whitespace-normal"/>
        <w:spacing w:before="0" w:beforeAutospacing="0" w:after="0" w:afterAutospacing="0" w:line="360" w:lineRule="auto"/>
        <w:ind w:firstLine="709"/>
        <w:jc w:val="both"/>
        <w:rPr>
          <w:sz w:val="28"/>
          <w:szCs w:val="28"/>
        </w:rPr>
      </w:pPr>
      <w:r w:rsidRPr="006533B3">
        <w:rPr>
          <w:sz w:val="28"/>
          <w:szCs w:val="28"/>
        </w:rPr>
        <w:t>Боснійська криза 1992-1995 років стала катастрофічним нагадуванням про нездатність європейських держав ефективно реагувати на конфлікти в безпосередній близькості без американського лідерства та військового потенціалу НАТО. Болісний досвід балканських воєн стимулював переосмислення європейської безпекової архітектури та усвідомлення необхідності розвитку реальних оперативних спроможностей. Амстердамський договір 1997 року посилив інституційні механізми СЗППБ, запровадивши посаду Високого представника з питань СЗППБ та інтегрувавши до компетенції ЄС Петерсберзькі завдання (гуманітарні та рятувальні операції, миротворчість, управління кризами та встановлення миру), раніше закріплені за ЗЄС. Одночасно розвивались дебати щодо «європейської ідентичності у сфері безпеки та оборони» в рамках НАТО, що відображало прагнення європейських союзників посилити власну роль та відповідальність у забезпеченні європейської безпеки [23].</w:t>
      </w:r>
    </w:p>
    <w:p w14:paraId="7F71DDD4" w14:textId="77777777" w:rsidR="006533B3" w:rsidRPr="006533B3" w:rsidRDefault="006533B3" w:rsidP="006533B3">
      <w:pPr>
        <w:pStyle w:val="whitespace-normal"/>
        <w:spacing w:before="0" w:beforeAutospacing="0" w:after="0" w:afterAutospacing="0" w:line="360" w:lineRule="auto"/>
        <w:ind w:firstLine="709"/>
        <w:jc w:val="both"/>
        <w:rPr>
          <w:sz w:val="28"/>
          <w:szCs w:val="28"/>
        </w:rPr>
      </w:pPr>
      <w:r w:rsidRPr="006533B3">
        <w:rPr>
          <w:sz w:val="28"/>
          <w:szCs w:val="28"/>
        </w:rPr>
        <w:t xml:space="preserve">Франко-британський саміт у Сен-Мало в грудні 1998 року став поворотним моментом у розвитку європейської оборонної політики. Британський прем'єр-міністр Тоні Блер та французький президент Жак Ширак випустили спільну декларацію, що проголошувала необхідність для ЄС мати «здатність до автономної дії, підкріплену надійними військовими силами, засобами прийняття </w:t>
      </w:r>
      <w:r w:rsidRPr="006533B3">
        <w:rPr>
          <w:sz w:val="28"/>
          <w:szCs w:val="28"/>
        </w:rPr>
        <w:lastRenderedPageBreak/>
        <w:t>рішень щодо їх використання та готовністю робити це у відповідь на міжнародні кризи». Декларація Сен-Мало ознаменувала історичний компроміс між французьким прагненням до європейської автономії та британською прихильністю до трансатлантичного партнерства, створивши політичні передумови для розвитку Європейської політики безпеки та оборони (ЄПБО) як оперативного виміру СЗППБ [24].</w:t>
      </w:r>
    </w:p>
    <w:p w14:paraId="4E57F916" w14:textId="77777777" w:rsidR="006533B3" w:rsidRPr="006533B3" w:rsidRDefault="006533B3" w:rsidP="006533B3">
      <w:pPr>
        <w:pStyle w:val="whitespace-normal"/>
        <w:spacing w:before="0" w:beforeAutospacing="0" w:after="0" w:afterAutospacing="0" w:line="360" w:lineRule="auto"/>
        <w:ind w:firstLine="709"/>
        <w:jc w:val="both"/>
        <w:rPr>
          <w:sz w:val="28"/>
          <w:szCs w:val="28"/>
        </w:rPr>
      </w:pPr>
      <w:r w:rsidRPr="006533B3">
        <w:rPr>
          <w:sz w:val="28"/>
          <w:szCs w:val="28"/>
        </w:rPr>
        <w:t>Гельсінський саміт Європейської Ради в грудні 1999 року офіційно затвердив розвиток ЄПБО та визначив амбітні «Гельсінські головні цілі» (Helsinki Headline Goals): до 2003 року ЄС мав створити сили швидкого реагування чисельністю 50-60 тисяч осіб, здатні до розгортання протягом 60 днів та підтримання операцій тривалістю до одного року. Паралельно розпочався процес створення політичних та військових структур для управління ЄПБО: Політичний і безпековий комітет (ПБК), Військовий комітет ЄС (ВКЄС) та Військовий штаб ЄС (ВШЄС). Розвиток інституційної архітектури доповнювався розширенням оперативних можливостей: у 2000-2003 роках ЄС розпочав перші цивільні місії (Поліцейська місія в Боснії та Герцеговині) та військові операції (Operation Concordia в Північній Македонії, Operation Artemis в Демократичній Республіці Конго) [25].</w:t>
      </w:r>
    </w:p>
    <w:p w14:paraId="1FFBB090" w14:textId="77777777" w:rsidR="006533B3" w:rsidRPr="006533B3" w:rsidRDefault="006533B3" w:rsidP="006533B3">
      <w:pPr>
        <w:pStyle w:val="whitespace-normal"/>
        <w:spacing w:before="0" w:beforeAutospacing="0" w:after="0" w:afterAutospacing="0" w:line="360" w:lineRule="auto"/>
        <w:ind w:firstLine="709"/>
        <w:jc w:val="both"/>
        <w:rPr>
          <w:sz w:val="28"/>
          <w:szCs w:val="28"/>
        </w:rPr>
      </w:pPr>
      <w:r w:rsidRPr="006533B3">
        <w:rPr>
          <w:sz w:val="28"/>
          <w:szCs w:val="28"/>
        </w:rPr>
        <w:t>Європейська стратегія безпеки «Безпечна Європа в кращому світі», схвалена Європейською Радою в грудні 2003 року, стала першим комплексним документом, що визначав стратегічне бачення ролі ЄС у забезпеченні міжнародної безпеки. Стратегія ідентифікувала ключові загрози європейській безпеці (тероризм, розповсюдження зброї масового знищення, регіональні конфлікти, неспроможні держави, організована злочинність) та визначала стратегічні цілі ЄС: протидія загрозам, забезпечення безпеки в сусідніх регіонах та формування міжнародного порядку, заснованого на ефективному мультилатералізмі. Документ позиціонував ЄС як глобального безпекового актора з унікальним набором інструментів, включаючи дипломатію, торгівлю, допомогу розвитку та військові засоби, що дозволяло застосовувати комплексний підхід до безпекових викликів [26].</w:t>
      </w:r>
    </w:p>
    <w:p w14:paraId="15B1498D" w14:textId="77777777" w:rsidR="006533B3" w:rsidRPr="006533B3" w:rsidRDefault="006533B3" w:rsidP="006533B3">
      <w:pPr>
        <w:pStyle w:val="whitespace-normal"/>
        <w:spacing w:before="0" w:beforeAutospacing="0" w:after="0" w:afterAutospacing="0" w:line="360" w:lineRule="auto"/>
        <w:ind w:firstLine="709"/>
        <w:jc w:val="both"/>
        <w:rPr>
          <w:sz w:val="28"/>
          <w:szCs w:val="28"/>
        </w:rPr>
      </w:pPr>
      <w:r w:rsidRPr="006533B3">
        <w:rPr>
          <w:sz w:val="28"/>
          <w:szCs w:val="28"/>
        </w:rPr>
        <w:lastRenderedPageBreak/>
        <w:t>Лісабонський договір, підписаний у 2007 році та чинний з 2009 року, ознаменував якісно новий етап інституціоналізації європейської безпекової та оборонної політики. Європейська політика безпеки та оборони була перейменована на Спільну політику безпеки та оборони (СПБО), що відображало прагнення до поглиблення інтеграції в оборонній сфері. Договір запровадив посаду Високого представника Союзу з питань закордонних справ і політики безпеки, який одночасно обіймає посаду віце-президента Європейської Комісії, та створив Європейську службу зовнішньої дії (ЄСЗД) як дипломатичний корпус ЄС. Інституційні інновації доповнювалися новими механізмами співпраці: положення про взаємну допомогу (стаття 42.7) та солідарність (стаття 222), що створювали правову основу для колективної відповіді на збройну агресію або терористичну атаку проти держави-члена; постійне структуроване співробітництво (PESCO), що дозволяло групам держав-членів поглиблювати співпрацю у сфері оборони [27].</w:t>
      </w:r>
    </w:p>
    <w:p w14:paraId="4D5F5367" w14:textId="77777777" w:rsidR="006533B3" w:rsidRPr="006533B3" w:rsidRDefault="006533B3" w:rsidP="006533B3">
      <w:pPr>
        <w:pStyle w:val="whitespace-normal"/>
        <w:spacing w:before="0" w:beforeAutospacing="0" w:after="0" w:afterAutospacing="0" w:line="360" w:lineRule="auto"/>
        <w:ind w:firstLine="709"/>
        <w:jc w:val="both"/>
        <w:rPr>
          <w:sz w:val="28"/>
          <w:szCs w:val="28"/>
        </w:rPr>
      </w:pPr>
      <w:r w:rsidRPr="006533B3">
        <w:rPr>
          <w:sz w:val="28"/>
          <w:szCs w:val="28"/>
        </w:rPr>
        <w:t>Глобальна фінансова криза 2008-2009 років та наступна євро-криза суттєво обмежили ресурси, доступні для розвитку європейської оборони, та спрямували політичну увагу на економічні та фінансові проблеми. В умовах бюджетних обмежень Європейське оборонне агентство (EDA), створене у 2004 році, запропонувало концепцію «об'єднання та спільного використання» (pooling and sharing) оборонних ресурсів для підвищення ефективності військових витрат. Гентська ініціатива 2010 року, висунута під час бельгійського головування в ЄС, та Веймарська ініціатива того ж року, запропонована Німеччиною, Францією та Польщею, спрямовувалися на посилення практичної співпраці в оборонній сфері, проте досягли обмежених результатів через відсутність політичної волі та інституційної координації [28].</w:t>
      </w:r>
    </w:p>
    <w:p w14:paraId="5D0F8490" w14:textId="77777777" w:rsidR="006533B3" w:rsidRPr="006533B3" w:rsidRDefault="006533B3" w:rsidP="006533B3">
      <w:pPr>
        <w:pStyle w:val="whitespace-normal"/>
        <w:spacing w:before="0" w:beforeAutospacing="0" w:after="0" w:afterAutospacing="0" w:line="360" w:lineRule="auto"/>
        <w:ind w:firstLine="709"/>
        <w:jc w:val="both"/>
        <w:rPr>
          <w:sz w:val="28"/>
          <w:szCs w:val="28"/>
        </w:rPr>
      </w:pPr>
      <w:r w:rsidRPr="006533B3">
        <w:rPr>
          <w:sz w:val="28"/>
          <w:szCs w:val="28"/>
        </w:rPr>
        <w:t xml:space="preserve">Анексія Криму та дестабілізація Донбасу Російською Федерацією у 2014 році стали переломним моментом у розвитку безпекової архітектури ЄС, спровокувавши фундаментальне переосмислення безпекового середовища та стратегічних пріоритетів. Російська агресія проти України, поєднана з наростанням терористичної загрози, міграційною кризою, Brexit та обранням </w:t>
      </w:r>
      <w:r w:rsidRPr="006533B3">
        <w:rPr>
          <w:sz w:val="28"/>
          <w:szCs w:val="28"/>
        </w:rPr>
        <w:lastRenderedPageBreak/>
        <w:t>адміністрації Дональда Трампа в США, створила відчуття стратегічної невизначеності та зростаючої вразливості Європи. В умовах мультиплікації загроз стала очевидною необхідність оновлення стратегічного бачення ролі ЄС у забезпеченні європейської та глобальної безпеки [29].</w:t>
      </w:r>
    </w:p>
    <w:p w14:paraId="375D629A" w14:textId="77777777" w:rsidR="006533B3" w:rsidRDefault="006533B3" w:rsidP="006533B3">
      <w:pPr>
        <w:pStyle w:val="whitespace-normal"/>
        <w:spacing w:before="0" w:beforeAutospacing="0" w:after="0" w:afterAutospacing="0" w:line="360" w:lineRule="auto"/>
        <w:ind w:firstLine="709"/>
        <w:jc w:val="both"/>
        <w:rPr>
          <w:sz w:val="28"/>
          <w:szCs w:val="28"/>
          <w:lang w:val="uk-UA"/>
        </w:rPr>
      </w:pPr>
      <w:r w:rsidRPr="006533B3">
        <w:rPr>
          <w:sz w:val="28"/>
          <w:szCs w:val="28"/>
        </w:rPr>
        <w:t>Глобальна стратегія ЄС із зовнішньої політики та політики безпеки «Спільне бачення, спільна дія: сильніша Європа», представлена Високим представником Федерікою Могеріні в червні 2016 року, визначила стратегічну автономію ЄС як ключовий пріоритет. Стратегія ідентифікувала п'ять пріоритетів зовнішньої діяльності Союзу: безпека ЄС; стійкість держав та суспільств на сході та півдні; інтегрований підхід до конфліктів та криз; кооперативні регіональні порядки; та глобальне управління для ХХІ століття. Глобальна стратегія чітко визначила, що європейці «повинні бути краще оснащені, навчені та організовані для колективного внеску» в безпеку континенту, наголошуючи, що «хоча НАТО існує для захисту своїх членів від зовнішньої атаки, європейці повинні бути краще оснащені, навчені та організовані для рішучого внеску в такі колективні зусилля, а також для автономних дій, коли і де необхідно» [30].</w:t>
      </w:r>
    </w:p>
    <w:p w14:paraId="157D26CD" w14:textId="77777777" w:rsidR="0012394F" w:rsidRPr="0012394F" w:rsidRDefault="0012394F" w:rsidP="006533B3">
      <w:pPr>
        <w:pStyle w:val="whitespace-normal"/>
        <w:spacing w:before="0" w:beforeAutospacing="0" w:after="0" w:afterAutospacing="0" w:line="360" w:lineRule="auto"/>
        <w:ind w:firstLine="709"/>
        <w:jc w:val="both"/>
        <w:rPr>
          <w:sz w:val="28"/>
          <w:szCs w:val="28"/>
          <w:lang w:val="uk-UA"/>
        </w:rPr>
      </w:pPr>
    </w:p>
    <w:p w14:paraId="35DB80AA" w14:textId="7D29BD6D" w:rsidR="006533B3" w:rsidRPr="0012394F" w:rsidRDefault="006533B3" w:rsidP="0012394F">
      <w:pPr>
        <w:pStyle w:val="2"/>
        <w:rPr>
          <w:lang w:val="uk-UA"/>
        </w:rPr>
      </w:pPr>
      <w:bookmarkStart w:id="5" w:name="_Toc198089413"/>
      <w:r w:rsidRPr="00CE22B8">
        <w:rPr>
          <w:lang w:val="uk-UA"/>
        </w:rPr>
        <w:t>1.3 Інституційні механізми та нормативно-правові засади функціонування спільної безпекової та оборонної політики ЄС</w:t>
      </w:r>
      <w:bookmarkEnd w:id="5"/>
      <w:r w:rsidRPr="00CE22B8">
        <w:rPr>
          <w:lang w:val="uk-UA"/>
        </w:rPr>
        <w:t xml:space="preserve"> </w:t>
      </w:r>
      <w:r w:rsidR="0012394F">
        <w:rPr>
          <w:lang w:val="uk-UA"/>
        </w:rPr>
        <w:t xml:space="preserve"> </w:t>
      </w:r>
    </w:p>
    <w:p w14:paraId="40E3DC4A" w14:textId="77777777" w:rsidR="006533B3" w:rsidRPr="00CE22B8" w:rsidRDefault="006533B3" w:rsidP="006533B3">
      <w:pPr>
        <w:pStyle w:val="whitespace-normal"/>
        <w:spacing w:before="0" w:beforeAutospacing="0" w:after="0" w:afterAutospacing="0" w:line="360" w:lineRule="auto"/>
        <w:ind w:firstLine="709"/>
        <w:jc w:val="both"/>
        <w:rPr>
          <w:sz w:val="28"/>
          <w:szCs w:val="28"/>
          <w:lang w:val="uk-UA"/>
        </w:rPr>
      </w:pPr>
      <w:r w:rsidRPr="00CE22B8">
        <w:rPr>
          <w:sz w:val="28"/>
          <w:szCs w:val="28"/>
          <w:lang w:val="uk-UA"/>
        </w:rPr>
        <w:t>Постійне структуроване співробітництво (</w:t>
      </w:r>
      <w:r w:rsidRPr="006533B3">
        <w:rPr>
          <w:sz w:val="28"/>
          <w:szCs w:val="28"/>
        </w:rPr>
        <w:t>PESCO</w:t>
      </w:r>
      <w:r w:rsidRPr="00CE22B8">
        <w:rPr>
          <w:sz w:val="28"/>
          <w:szCs w:val="28"/>
          <w:lang w:val="uk-UA"/>
        </w:rPr>
        <w:t xml:space="preserve">), активоване у 2017 році, становить гнучкий механізм поглибленої інтеграції у сфері оборони, що дозволяє групам держав-членів розвивати спільні </w:t>
      </w:r>
      <w:proofErr w:type="spellStart"/>
      <w:r w:rsidRPr="00CE22B8">
        <w:rPr>
          <w:sz w:val="28"/>
          <w:szCs w:val="28"/>
          <w:lang w:val="uk-UA"/>
        </w:rPr>
        <w:t>проєкти</w:t>
      </w:r>
      <w:proofErr w:type="spellEnd"/>
      <w:r w:rsidRPr="00CE22B8">
        <w:rPr>
          <w:sz w:val="28"/>
          <w:szCs w:val="28"/>
          <w:lang w:val="uk-UA"/>
        </w:rPr>
        <w:t xml:space="preserve"> та інвестувати у спільні спроможності. Участь у </w:t>
      </w:r>
      <w:r w:rsidRPr="006533B3">
        <w:rPr>
          <w:sz w:val="28"/>
          <w:szCs w:val="28"/>
        </w:rPr>
        <w:t>PESCO</w:t>
      </w:r>
      <w:r w:rsidRPr="00CE22B8">
        <w:rPr>
          <w:sz w:val="28"/>
          <w:szCs w:val="28"/>
          <w:lang w:val="uk-UA"/>
        </w:rPr>
        <w:t xml:space="preserve"> передбачає виконання 20 зобов'язань, включаючи регулярне збільшення оборонних бюджетів, підвищення витрат на оборонні дослідження та розробки, гармонізацію вимог до військового обладнання та участь у спільних </w:t>
      </w:r>
      <w:proofErr w:type="spellStart"/>
      <w:r w:rsidRPr="00CE22B8">
        <w:rPr>
          <w:sz w:val="28"/>
          <w:szCs w:val="28"/>
          <w:lang w:val="uk-UA"/>
        </w:rPr>
        <w:t>проєктах</w:t>
      </w:r>
      <w:proofErr w:type="spellEnd"/>
      <w:r w:rsidRPr="00CE22B8">
        <w:rPr>
          <w:sz w:val="28"/>
          <w:szCs w:val="28"/>
          <w:lang w:val="uk-UA"/>
        </w:rPr>
        <w:t xml:space="preserve"> через Європейський оборонний фонд. Станом на початок 2022 року, у рамках </w:t>
      </w:r>
      <w:r w:rsidRPr="006533B3">
        <w:rPr>
          <w:sz w:val="28"/>
          <w:szCs w:val="28"/>
        </w:rPr>
        <w:t>PESCO</w:t>
      </w:r>
      <w:r w:rsidRPr="00CE22B8">
        <w:rPr>
          <w:sz w:val="28"/>
          <w:szCs w:val="28"/>
          <w:lang w:val="uk-UA"/>
        </w:rPr>
        <w:t xml:space="preserve"> реалізувалося 60 </w:t>
      </w:r>
      <w:proofErr w:type="spellStart"/>
      <w:r w:rsidRPr="00CE22B8">
        <w:rPr>
          <w:sz w:val="28"/>
          <w:szCs w:val="28"/>
          <w:lang w:val="uk-UA"/>
        </w:rPr>
        <w:t>проєктів</w:t>
      </w:r>
      <w:proofErr w:type="spellEnd"/>
      <w:r w:rsidRPr="00CE22B8">
        <w:rPr>
          <w:sz w:val="28"/>
          <w:szCs w:val="28"/>
          <w:lang w:val="uk-UA"/>
        </w:rPr>
        <w:t xml:space="preserve"> у різних сферах: наземні системи, морські системи, повітряні системи, </w:t>
      </w:r>
      <w:proofErr w:type="spellStart"/>
      <w:r w:rsidRPr="00CE22B8">
        <w:rPr>
          <w:sz w:val="28"/>
          <w:szCs w:val="28"/>
          <w:lang w:val="uk-UA"/>
        </w:rPr>
        <w:lastRenderedPageBreak/>
        <w:t>кіберзахист</w:t>
      </w:r>
      <w:proofErr w:type="spellEnd"/>
      <w:r w:rsidRPr="00CE22B8">
        <w:rPr>
          <w:sz w:val="28"/>
          <w:szCs w:val="28"/>
          <w:lang w:val="uk-UA"/>
        </w:rPr>
        <w:t xml:space="preserve">, спільне навчання та логістична інфраструктура. Механізм </w:t>
      </w:r>
      <w:r w:rsidRPr="006533B3">
        <w:rPr>
          <w:sz w:val="28"/>
          <w:szCs w:val="28"/>
        </w:rPr>
        <w:t>PESCO</w:t>
      </w:r>
      <w:r w:rsidRPr="00CE22B8">
        <w:rPr>
          <w:sz w:val="28"/>
          <w:szCs w:val="28"/>
          <w:lang w:val="uk-UA"/>
        </w:rPr>
        <w:t xml:space="preserve"> доповнюється Координованим щорічним оглядом оборони (</w:t>
      </w:r>
      <w:r w:rsidRPr="006533B3">
        <w:rPr>
          <w:sz w:val="28"/>
          <w:szCs w:val="28"/>
        </w:rPr>
        <w:t>CARD</w:t>
      </w:r>
      <w:r w:rsidRPr="00CE22B8">
        <w:rPr>
          <w:sz w:val="28"/>
          <w:szCs w:val="28"/>
          <w:lang w:val="uk-UA"/>
        </w:rPr>
        <w:t>), що забезпечує моніторинг національних оборонних планів та ідентифікацію можливостей для спільних інвестицій [1].</w:t>
      </w:r>
    </w:p>
    <w:p w14:paraId="0086D742" w14:textId="77777777" w:rsidR="006533B3" w:rsidRPr="006533B3" w:rsidRDefault="006533B3" w:rsidP="006533B3">
      <w:pPr>
        <w:pStyle w:val="whitespace-normal"/>
        <w:spacing w:before="0" w:beforeAutospacing="0" w:after="0" w:afterAutospacing="0" w:line="360" w:lineRule="auto"/>
        <w:ind w:firstLine="709"/>
        <w:jc w:val="both"/>
        <w:rPr>
          <w:sz w:val="28"/>
          <w:szCs w:val="28"/>
        </w:rPr>
      </w:pPr>
      <w:proofErr w:type="spellStart"/>
      <w:r w:rsidRPr="006533B3">
        <w:rPr>
          <w:sz w:val="28"/>
          <w:szCs w:val="28"/>
        </w:rPr>
        <w:t>Європейський</w:t>
      </w:r>
      <w:proofErr w:type="spellEnd"/>
      <w:r w:rsidRPr="006533B3">
        <w:rPr>
          <w:sz w:val="28"/>
          <w:szCs w:val="28"/>
        </w:rPr>
        <w:t xml:space="preserve"> </w:t>
      </w:r>
      <w:proofErr w:type="spellStart"/>
      <w:r w:rsidRPr="006533B3">
        <w:rPr>
          <w:sz w:val="28"/>
          <w:szCs w:val="28"/>
        </w:rPr>
        <w:t>оборонний</w:t>
      </w:r>
      <w:proofErr w:type="spellEnd"/>
      <w:r w:rsidRPr="006533B3">
        <w:rPr>
          <w:sz w:val="28"/>
          <w:szCs w:val="28"/>
        </w:rPr>
        <w:t xml:space="preserve"> фонд (EDF), започаткований у 2017 році та повністю операціоналізований у 2021 році, представляє революційний крок у напрямку спільного фінансування оборонних досліджень та розробок на рівні ЄС. Фонд, з бюджетом близько 8 млрд євро на період 2021-2027 років, фінансує спільні дослідницькі проєкти у сфері оборонних технологій та спільну розробку оборонних спроможностей. EDF спрямований на зменшення фрагментації європейського оборонного ринку, подолання дублювання витрат та підвищення конкурентоспроможності європейської оборонної промисловості. Для отримання фінансування проєкти мають реалізовуватися консорціумами, що включають суб'єктів принаймні з трьох держав-членів, а результати досліджень мають залишатися у власності ЄС. Інноваційним елементом EDF є механізм фінансових бонусів для проєктів у рамках PESCO, що створює додаткові стимули для інтеграції у сфері оборони [2].</w:t>
      </w:r>
    </w:p>
    <w:p w14:paraId="4FFCA052" w14:textId="77777777" w:rsidR="006533B3" w:rsidRPr="006533B3" w:rsidRDefault="006533B3" w:rsidP="006533B3">
      <w:pPr>
        <w:pStyle w:val="whitespace-normal"/>
        <w:spacing w:before="0" w:beforeAutospacing="0" w:after="0" w:afterAutospacing="0" w:line="360" w:lineRule="auto"/>
        <w:ind w:firstLine="709"/>
        <w:jc w:val="both"/>
        <w:rPr>
          <w:sz w:val="28"/>
          <w:szCs w:val="28"/>
        </w:rPr>
      </w:pPr>
      <w:r w:rsidRPr="006533B3">
        <w:rPr>
          <w:sz w:val="28"/>
          <w:szCs w:val="28"/>
        </w:rPr>
        <w:t>Європейський інструмент миру (EPF), запроваджений у 2021 році як позабюджетний фінансовий механізм з початковим бюджетом 5,7 млрд євро на 2021-2027 роки, розширив можливості ЄС щодо фінансування заходів із запобігання конфліктам, підтримання миру та зміцнення міжнародної безпеки. На відміну від попереднього Механізму «Афіна», EPF дозволяє фінансувати не лише спільні витрати на військові операції ЄС, але й надавати військову та оборонну допомогу третім країнам та регіональним організаціям, включаючи летальне озброєння. Запровадження EPF відображає прагнення ЄС підвищити гнучкість та ефективність фінансування зовнішніх безпекових ініціатив в умовах зростаючих глобальних викликів, зокрема, російської агресії проти України [3].</w:t>
      </w:r>
    </w:p>
    <w:p w14:paraId="299F3D1D" w14:textId="77777777" w:rsidR="006533B3" w:rsidRPr="006533B3" w:rsidRDefault="006533B3" w:rsidP="006533B3">
      <w:pPr>
        <w:pStyle w:val="whitespace-normal"/>
        <w:spacing w:before="0" w:beforeAutospacing="0" w:after="0" w:afterAutospacing="0" w:line="360" w:lineRule="auto"/>
        <w:ind w:firstLine="709"/>
        <w:jc w:val="both"/>
        <w:rPr>
          <w:sz w:val="28"/>
          <w:szCs w:val="28"/>
        </w:rPr>
      </w:pPr>
      <w:r w:rsidRPr="006533B3">
        <w:rPr>
          <w:sz w:val="28"/>
          <w:szCs w:val="28"/>
        </w:rPr>
        <w:t xml:space="preserve">Важливим елементом інституційної архітектури СПБО є механізм «бойових тактичних груп» ЄС (EU Battlegroups), створених згідно з «Головною ціллю 2010» для забезпечення швидкого військового реагування на кризи. Бойові </w:t>
      </w:r>
      <w:r w:rsidRPr="006533B3">
        <w:rPr>
          <w:sz w:val="28"/>
          <w:szCs w:val="28"/>
        </w:rPr>
        <w:lastRenderedPageBreak/>
        <w:t>тактичні групи, що складаються з приблизно 1500 військовослужбовців, перебувають у ротаційному режимі постійної готовності, що передбачає здатність до розгортання протягом 5-10 днів для виконання завдань, визначених статтею 43 ДЄС, у радіусі до 6000 км від Брюсселя протягом 30-120 днів. Незважаючи на досягнення повної оперативної готовності у 2007 році, бойові тактичні групи жодного разу не були розгорнуті до початку повномасштабної російсько-української війни через політичні, фінансові та процедурні обмеження, що підкреслює розрив між інституційними можливостями та практичною реалізацією СПБО [4].</w:t>
      </w:r>
    </w:p>
    <w:p w14:paraId="5CF83FE0" w14:textId="77777777" w:rsidR="006533B3" w:rsidRPr="006533B3" w:rsidRDefault="006533B3" w:rsidP="006533B3">
      <w:pPr>
        <w:pStyle w:val="whitespace-normal"/>
        <w:spacing w:before="0" w:beforeAutospacing="0" w:after="0" w:afterAutospacing="0" w:line="360" w:lineRule="auto"/>
        <w:ind w:firstLine="709"/>
        <w:jc w:val="both"/>
        <w:rPr>
          <w:sz w:val="28"/>
          <w:szCs w:val="28"/>
        </w:rPr>
      </w:pPr>
      <w:r w:rsidRPr="006533B3">
        <w:rPr>
          <w:sz w:val="28"/>
          <w:szCs w:val="28"/>
        </w:rPr>
        <w:t>Нормативно-правову базу колективної безпеки ЄС доповнюють стратегічні документи, що визначають пріоритети та напрямки розвитку безпекової та оборонної політики. Глобальна стратегія ЄС «Спільне бачення, спільна дія: сильніша Європа» (2016) визначила п'ять пріоритетів зовнішньої діяльності Союзу: безпека ЄС; стійкість держав та суспільств на сході та півдні; інтегрований підхід до конфліктів та криз; кооперативні регіональні порядки; та глобальне управління для ХХІ століття. Стратегія запровадила поняття «стратегічної автономії» ЄС та наголосила на необхідності посилення європейської оборони для забезпечення безпеки громадян ЄС, реагування на зовнішні кризи та підтримки партнерів у розвитку безпекових спроможностей [5].</w:t>
      </w:r>
    </w:p>
    <w:p w14:paraId="3AB75303" w14:textId="77777777" w:rsidR="006533B3" w:rsidRPr="006533B3" w:rsidRDefault="006533B3" w:rsidP="006533B3">
      <w:pPr>
        <w:pStyle w:val="whitespace-normal"/>
        <w:spacing w:before="0" w:beforeAutospacing="0" w:after="0" w:afterAutospacing="0" w:line="360" w:lineRule="auto"/>
        <w:ind w:firstLine="709"/>
        <w:jc w:val="both"/>
        <w:rPr>
          <w:sz w:val="28"/>
          <w:szCs w:val="28"/>
        </w:rPr>
      </w:pPr>
      <w:r w:rsidRPr="006533B3">
        <w:rPr>
          <w:sz w:val="28"/>
          <w:szCs w:val="28"/>
        </w:rPr>
        <w:t xml:space="preserve">«Стратегічний компас для безпеки та оборони» (2022) розвинув ідеї Глобальної стратегії та запропонував конкретний план дій з чіткими цілями та термінами у чотирьох сферах: дії, безпека, інвестиції та партнерства. Документ передбачає створення сил швидкого розгортання ЄС чисельністю до 5000 осіб, посилення спроможностей у сфері раннього попередження та стратегічної розвідки, проведення регулярних гібридних навчань, розробку інструментарію протидії іноземним маніпуляціям з інформацією, збільшення та координацію інвестицій у критичні військові спроможності, розвиток інновацій у сфері оборони та поглиблення стратегічних партнерств, зокрема з НАТО. «Стратегічний компас» уперше офіційно визначив Росію як «довгострокову </w:t>
      </w:r>
      <w:r w:rsidRPr="006533B3">
        <w:rPr>
          <w:sz w:val="28"/>
          <w:szCs w:val="28"/>
        </w:rPr>
        <w:lastRenderedPageBreak/>
        <w:t>загрозу європейській безпеці» та зафіксував необхідність колективних зусиль ЄС для протидії цій загрозі [6].</w:t>
      </w:r>
    </w:p>
    <w:p w14:paraId="25F85D61" w14:textId="77777777" w:rsidR="006533B3" w:rsidRDefault="006533B3" w:rsidP="006533B3">
      <w:pPr>
        <w:pStyle w:val="whitespace-normal"/>
        <w:spacing w:before="0" w:beforeAutospacing="0" w:after="0" w:afterAutospacing="0" w:line="360" w:lineRule="auto"/>
        <w:ind w:firstLine="709"/>
        <w:jc w:val="both"/>
        <w:rPr>
          <w:sz w:val="28"/>
          <w:szCs w:val="28"/>
          <w:lang w:val="uk-UA"/>
        </w:rPr>
      </w:pPr>
      <w:r w:rsidRPr="006533B3">
        <w:rPr>
          <w:sz w:val="28"/>
          <w:szCs w:val="28"/>
        </w:rPr>
        <w:t>Аналіз інституційних механізмів та нормативно-правових засад функціонування СПБО свідчить про поступове формування комплексної архітектури колективної безпеки ЄС, що поєднує елементи міждержавної співпраці та наднаціональної інтеграції. Інституційна система СПБО характеризується складною структурою компетенцій, багаторівневим процесом прийняття рішень та різноманітністю механізмів імплементації. Особливістю інституційної архітектури європейської безпеки є збереження міждержавного характеру прийняття стратегічних рішень при поступовому посиленні наднаціональних елементів у сфері фінансування, планування та реалізації безпекових ініціатив. Повномасштабне російське вторгнення в Україну створило нові виклики для інституційних механізмів СПБО та стимулювало перегляд підходів до їхнього функціонування задля підвищення ефективності та адаптивності колективної безпеки ЄС в умовах радикальної зміни безпекового середовища [7].</w:t>
      </w:r>
    </w:p>
    <w:p w14:paraId="0BAB1F9F" w14:textId="77777777" w:rsidR="0012394F" w:rsidRDefault="0012394F" w:rsidP="006533B3">
      <w:pPr>
        <w:pStyle w:val="whitespace-normal"/>
        <w:spacing w:before="0" w:beforeAutospacing="0" w:after="0" w:afterAutospacing="0" w:line="360" w:lineRule="auto"/>
        <w:ind w:firstLine="709"/>
        <w:jc w:val="both"/>
        <w:rPr>
          <w:sz w:val="28"/>
          <w:szCs w:val="28"/>
          <w:lang w:val="uk-UA"/>
        </w:rPr>
      </w:pPr>
    </w:p>
    <w:p w14:paraId="070D3085" w14:textId="77777777" w:rsidR="0012394F" w:rsidRDefault="0012394F" w:rsidP="006533B3">
      <w:pPr>
        <w:pStyle w:val="whitespace-normal"/>
        <w:spacing w:before="0" w:beforeAutospacing="0" w:after="0" w:afterAutospacing="0" w:line="360" w:lineRule="auto"/>
        <w:ind w:firstLine="709"/>
        <w:jc w:val="both"/>
        <w:rPr>
          <w:sz w:val="28"/>
          <w:szCs w:val="28"/>
          <w:lang w:val="uk-UA"/>
        </w:rPr>
      </w:pPr>
    </w:p>
    <w:p w14:paraId="659F146E" w14:textId="77777777" w:rsidR="0012394F" w:rsidRDefault="0012394F" w:rsidP="006533B3">
      <w:pPr>
        <w:pStyle w:val="whitespace-normal"/>
        <w:spacing w:before="0" w:beforeAutospacing="0" w:after="0" w:afterAutospacing="0" w:line="360" w:lineRule="auto"/>
        <w:ind w:firstLine="709"/>
        <w:jc w:val="both"/>
        <w:rPr>
          <w:sz w:val="28"/>
          <w:szCs w:val="28"/>
          <w:lang w:val="uk-UA"/>
        </w:rPr>
      </w:pPr>
    </w:p>
    <w:p w14:paraId="7B496F08" w14:textId="77777777" w:rsidR="0012394F" w:rsidRDefault="0012394F" w:rsidP="006533B3">
      <w:pPr>
        <w:pStyle w:val="whitespace-normal"/>
        <w:spacing w:before="0" w:beforeAutospacing="0" w:after="0" w:afterAutospacing="0" w:line="360" w:lineRule="auto"/>
        <w:ind w:firstLine="709"/>
        <w:jc w:val="both"/>
        <w:rPr>
          <w:sz w:val="28"/>
          <w:szCs w:val="28"/>
          <w:lang w:val="uk-UA"/>
        </w:rPr>
      </w:pPr>
    </w:p>
    <w:p w14:paraId="5F8EF01B" w14:textId="77777777" w:rsidR="0012394F" w:rsidRDefault="0012394F" w:rsidP="006533B3">
      <w:pPr>
        <w:pStyle w:val="whitespace-normal"/>
        <w:spacing w:before="0" w:beforeAutospacing="0" w:after="0" w:afterAutospacing="0" w:line="360" w:lineRule="auto"/>
        <w:ind w:firstLine="709"/>
        <w:jc w:val="both"/>
        <w:rPr>
          <w:sz w:val="28"/>
          <w:szCs w:val="28"/>
          <w:lang w:val="uk-UA"/>
        </w:rPr>
      </w:pPr>
    </w:p>
    <w:p w14:paraId="148586E1" w14:textId="77777777" w:rsidR="0012394F" w:rsidRDefault="0012394F" w:rsidP="006533B3">
      <w:pPr>
        <w:pStyle w:val="whitespace-normal"/>
        <w:spacing w:before="0" w:beforeAutospacing="0" w:after="0" w:afterAutospacing="0" w:line="360" w:lineRule="auto"/>
        <w:ind w:firstLine="709"/>
        <w:jc w:val="both"/>
        <w:rPr>
          <w:sz w:val="28"/>
          <w:szCs w:val="28"/>
          <w:lang w:val="uk-UA"/>
        </w:rPr>
      </w:pPr>
    </w:p>
    <w:p w14:paraId="0BA62CFD" w14:textId="77777777" w:rsidR="0012394F" w:rsidRDefault="0012394F" w:rsidP="006533B3">
      <w:pPr>
        <w:pStyle w:val="whitespace-normal"/>
        <w:spacing w:before="0" w:beforeAutospacing="0" w:after="0" w:afterAutospacing="0" w:line="360" w:lineRule="auto"/>
        <w:ind w:firstLine="709"/>
        <w:jc w:val="both"/>
        <w:rPr>
          <w:sz w:val="28"/>
          <w:szCs w:val="28"/>
          <w:lang w:val="uk-UA"/>
        </w:rPr>
      </w:pPr>
    </w:p>
    <w:p w14:paraId="29A706C8" w14:textId="77777777" w:rsidR="0012394F" w:rsidRDefault="0012394F" w:rsidP="006533B3">
      <w:pPr>
        <w:pStyle w:val="whitespace-normal"/>
        <w:spacing w:before="0" w:beforeAutospacing="0" w:after="0" w:afterAutospacing="0" w:line="360" w:lineRule="auto"/>
        <w:ind w:firstLine="709"/>
        <w:jc w:val="both"/>
        <w:rPr>
          <w:sz w:val="28"/>
          <w:szCs w:val="28"/>
          <w:lang w:val="uk-UA"/>
        </w:rPr>
      </w:pPr>
    </w:p>
    <w:p w14:paraId="5177904D" w14:textId="77777777" w:rsidR="0012394F" w:rsidRDefault="0012394F" w:rsidP="006533B3">
      <w:pPr>
        <w:pStyle w:val="whitespace-normal"/>
        <w:spacing w:before="0" w:beforeAutospacing="0" w:after="0" w:afterAutospacing="0" w:line="360" w:lineRule="auto"/>
        <w:ind w:firstLine="709"/>
        <w:jc w:val="both"/>
        <w:rPr>
          <w:sz w:val="28"/>
          <w:szCs w:val="28"/>
          <w:lang w:val="uk-UA"/>
        </w:rPr>
      </w:pPr>
    </w:p>
    <w:p w14:paraId="40CB531A" w14:textId="77777777" w:rsidR="0012394F" w:rsidRDefault="0012394F" w:rsidP="006533B3">
      <w:pPr>
        <w:pStyle w:val="whitespace-normal"/>
        <w:spacing w:before="0" w:beforeAutospacing="0" w:after="0" w:afterAutospacing="0" w:line="360" w:lineRule="auto"/>
        <w:ind w:firstLine="709"/>
        <w:jc w:val="both"/>
        <w:rPr>
          <w:sz w:val="28"/>
          <w:szCs w:val="28"/>
          <w:lang w:val="uk-UA"/>
        </w:rPr>
      </w:pPr>
    </w:p>
    <w:p w14:paraId="52BAAF7D" w14:textId="77777777" w:rsidR="0012394F" w:rsidRDefault="0012394F" w:rsidP="006533B3">
      <w:pPr>
        <w:pStyle w:val="whitespace-normal"/>
        <w:spacing w:before="0" w:beforeAutospacing="0" w:after="0" w:afterAutospacing="0" w:line="360" w:lineRule="auto"/>
        <w:ind w:firstLine="709"/>
        <w:jc w:val="both"/>
        <w:rPr>
          <w:sz w:val="28"/>
          <w:szCs w:val="28"/>
          <w:lang w:val="uk-UA"/>
        </w:rPr>
      </w:pPr>
    </w:p>
    <w:p w14:paraId="7E5CF1F4" w14:textId="77777777" w:rsidR="0012394F" w:rsidRDefault="0012394F" w:rsidP="006533B3">
      <w:pPr>
        <w:pStyle w:val="whitespace-normal"/>
        <w:spacing w:before="0" w:beforeAutospacing="0" w:after="0" w:afterAutospacing="0" w:line="360" w:lineRule="auto"/>
        <w:ind w:firstLine="709"/>
        <w:jc w:val="both"/>
        <w:rPr>
          <w:sz w:val="28"/>
          <w:szCs w:val="28"/>
          <w:lang w:val="uk-UA"/>
        </w:rPr>
      </w:pPr>
    </w:p>
    <w:p w14:paraId="7A94834D" w14:textId="77777777" w:rsidR="0012394F" w:rsidRDefault="0012394F" w:rsidP="006533B3">
      <w:pPr>
        <w:pStyle w:val="whitespace-normal"/>
        <w:spacing w:before="0" w:beforeAutospacing="0" w:after="0" w:afterAutospacing="0" w:line="360" w:lineRule="auto"/>
        <w:ind w:firstLine="709"/>
        <w:jc w:val="both"/>
        <w:rPr>
          <w:sz w:val="28"/>
          <w:szCs w:val="28"/>
          <w:lang w:val="uk-UA"/>
        </w:rPr>
      </w:pPr>
    </w:p>
    <w:p w14:paraId="26E0BFDD" w14:textId="77777777" w:rsidR="0012394F" w:rsidRPr="0012394F" w:rsidRDefault="0012394F" w:rsidP="006533B3">
      <w:pPr>
        <w:pStyle w:val="whitespace-normal"/>
        <w:spacing w:before="0" w:beforeAutospacing="0" w:after="0" w:afterAutospacing="0" w:line="360" w:lineRule="auto"/>
        <w:ind w:firstLine="709"/>
        <w:jc w:val="both"/>
        <w:rPr>
          <w:sz w:val="28"/>
          <w:szCs w:val="28"/>
          <w:lang w:val="uk-UA"/>
        </w:rPr>
      </w:pPr>
    </w:p>
    <w:p w14:paraId="44230A0F" w14:textId="77777777" w:rsidR="006533B3" w:rsidRPr="006533B3" w:rsidRDefault="006533B3" w:rsidP="0012394F">
      <w:pPr>
        <w:pStyle w:val="1"/>
      </w:pPr>
      <w:bookmarkStart w:id="6" w:name="_Toc198089414"/>
      <w:r w:rsidRPr="006533B3">
        <w:lastRenderedPageBreak/>
        <w:t>РОЗДІЛ 2. ТРАНСФОРМАЦІЯ БЕЗПЕКОВОЇ ПОЛІТИКИ ЄС ПІСЛЯ ПОЧАТКУ ПОВНОМАСШТАБНОГО РОСІЙСЬКОГО ВТОРГНЕННЯ В УКРАЇНУ</w:t>
      </w:r>
      <w:bookmarkEnd w:id="6"/>
    </w:p>
    <w:p w14:paraId="0F45C7A8" w14:textId="77777777" w:rsidR="006533B3" w:rsidRPr="006533B3" w:rsidRDefault="006533B3" w:rsidP="0012394F">
      <w:pPr>
        <w:pStyle w:val="2"/>
      </w:pPr>
      <w:bookmarkStart w:id="7" w:name="_Toc198089415"/>
      <w:r w:rsidRPr="006533B3">
        <w:t xml:space="preserve">2.1 </w:t>
      </w:r>
      <w:proofErr w:type="spellStart"/>
      <w:r w:rsidRPr="006533B3">
        <w:t>Переосмислення</w:t>
      </w:r>
      <w:proofErr w:type="spellEnd"/>
      <w:r w:rsidRPr="006533B3">
        <w:t xml:space="preserve"> </w:t>
      </w:r>
      <w:proofErr w:type="spellStart"/>
      <w:r w:rsidRPr="006533B3">
        <w:t>стратегічних</w:t>
      </w:r>
      <w:proofErr w:type="spellEnd"/>
      <w:r w:rsidRPr="006533B3">
        <w:t xml:space="preserve"> </w:t>
      </w:r>
      <w:proofErr w:type="spellStart"/>
      <w:r w:rsidRPr="006533B3">
        <w:t>підходів</w:t>
      </w:r>
      <w:proofErr w:type="spellEnd"/>
      <w:r w:rsidRPr="006533B3">
        <w:t xml:space="preserve"> та </w:t>
      </w:r>
      <w:proofErr w:type="spellStart"/>
      <w:r w:rsidRPr="006533B3">
        <w:t>безпекових</w:t>
      </w:r>
      <w:proofErr w:type="spellEnd"/>
      <w:r w:rsidRPr="006533B3">
        <w:t xml:space="preserve"> парадигм ЄС у </w:t>
      </w:r>
      <w:proofErr w:type="spellStart"/>
      <w:r w:rsidRPr="006533B3">
        <w:t>контексті</w:t>
      </w:r>
      <w:proofErr w:type="spellEnd"/>
      <w:r w:rsidRPr="006533B3">
        <w:t xml:space="preserve"> </w:t>
      </w:r>
      <w:proofErr w:type="spellStart"/>
      <w:r w:rsidRPr="006533B3">
        <w:t>російської</w:t>
      </w:r>
      <w:proofErr w:type="spellEnd"/>
      <w:r w:rsidRPr="006533B3">
        <w:t xml:space="preserve"> </w:t>
      </w:r>
      <w:proofErr w:type="spellStart"/>
      <w:r w:rsidRPr="006533B3">
        <w:t>агресії</w:t>
      </w:r>
      <w:bookmarkEnd w:id="7"/>
      <w:proofErr w:type="spellEnd"/>
    </w:p>
    <w:p w14:paraId="03092238" w14:textId="77777777" w:rsidR="006533B3" w:rsidRPr="006533B3" w:rsidRDefault="006533B3" w:rsidP="006533B3">
      <w:pPr>
        <w:pStyle w:val="whitespace-normal"/>
        <w:spacing w:before="0" w:beforeAutospacing="0" w:after="0" w:afterAutospacing="0" w:line="360" w:lineRule="auto"/>
        <w:ind w:firstLine="709"/>
        <w:jc w:val="both"/>
        <w:rPr>
          <w:sz w:val="28"/>
          <w:szCs w:val="28"/>
        </w:rPr>
      </w:pPr>
      <w:r w:rsidRPr="006533B3">
        <w:rPr>
          <w:sz w:val="28"/>
          <w:szCs w:val="28"/>
        </w:rPr>
        <w:t>Повномасштабне вторгнення Російської Федерації в Україну 24 лютого 2022 року спричинило фундаментальне переосмислення стратегічних підходів та безпекових парадигм Європейського Союзу. Масштабна збройна агресія на східному фланзі ЄС спровокувала безпрецедентний шок, що змусив європейських лідерів критично переоцінити усталені уявлення про природу безпекових загроз, принципи взаємодії з авторитарними режимами та ефективність існуючих механізмів колективної безпеки. Президентка Європейської Комісії Урсула фон дер Ляєн охарактеризувала початок повномасштабної війни як «момент пробудження для Європи», що позначив кінець епохи відносної стабільності та початок нової ери невизначеності та загроз [8]. Російське вторгнення продемонструвало обмеженість попередніх стратегічних підходів ЄС, заснованих на пріоритеті економічної взаємозалежності та «змін через зближення» у відносинах з Росією, та каталізувало формування нової безпекової парадигми, орієнтованої на жорстку силу, стратегічну автономію та геополітичне позиціонування [9].</w:t>
      </w:r>
    </w:p>
    <w:p w14:paraId="10727BF0" w14:textId="77777777" w:rsidR="006533B3" w:rsidRPr="006533B3" w:rsidRDefault="006533B3" w:rsidP="006533B3">
      <w:pPr>
        <w:pStyle w:val="whitespace-normal"/>
        <w:spacing w:before="0" w:beforeAutospacing="0" w:after="0" w:afterAutospacing="0" w:line="360" w:lineRule="auto"/>
        <w:ind w:firstLine="709"/>
        <w:jc w:val="both"/>
        <w:rPr>
          <w:sz w:val="28"/>
          <w:szCs w:val="28"/>
        </w:rPr>
      </w:pPr>
      <w:r w:rsidRPr="006533B3">
        <w:rPr>
          <w:sz w:val="28"/>
          <w:szCs w:val="28"/>
        </w:rPr>
        <w:t xml:space="preserve">Ключовим елементом трансформації стратегічних підходів ЄС стало визнання Росії як довгострокової та системної загрози європейській безпеці. У Версальській декларації від 11 березня 2022 року лідери ЄС констатували, що «російська агресія становить кардинальну зміну європейської історії» та зобов'язались «захищати наших громадян, цінності, демократії та європейську модель». Вперше в історії ЄС ухвалений за кілька тижнів до початку повномасштабного вторгнення «Стратегічний компас» був терміново переглянутий, щоб відобразити нову реальність російської загрози. У фінальній </w:t>
      </w:r>
      <w:r w:rsidRPr="006533B3">
        <w:rPr>
          <w:sz w:val="28"/>
          <w:szCs w:val="28"/>
        </w:rPr>
        <w:lastRenderedPageBreak/>
        <w:t>версії документа, схваленій 21 березня 2022 року, Росія прямо визначається як «довгострокова загроза європейській безпеці», що «створює нову реальність безпекового середовища та потребує рішучої, скоординованої відповіді ЄС». Зникнення амбівалентності у сприйнятті Росії та чітка ідентифікація її як стратегічного супротивника, а не партнера, позначили кардинальний зсув безпекової парадигми ЄС, що проявився у прискореному відході від енергетичної залежності, розширенні санкційного режиму та переорієнтації оборонної політики на стримування російської агресії [10].</w:t>
      </w:r>
    </w:p>
    <w:p w14:paraId="13096582" w14:textId="77777777" w:rsidR="006533B3" w:rsidRPr="006533B3" w:rsidRDefault="006533B3" w:rsidP="006533B3">
      <w:pPr>
        <w:pStyle w:val="whitespace-normal"/>
        <w:spacing w:before="0" w:beforeAutospacing="0" w:after="0" w:afterAutospacing="0" w:line="360" w:lineRule="auto"/>
        <w:ind w:firstLine="709"/>
        <w:jc w:val="both"/>
        <w:rPr>
          <w:sz w:val="28"/>
          <w:szCs w:val="28"/>
        </w:rPr>
      </w:pPr>
      <w:r w:rsidRPr="006533B3">
        <w:rPr>
          <w:sz w:val="28"/>
          <w:szCs w:val="28"/>
        </w:rPr>
        <w:t>Фундаментальною трансформацією стратегічного мислення ЄС стало визнання пріоритетності «жорсткої сили» (hard power) та мілітаризація безпекового дискурсу Союзу. Якщо до 2022 року ЄС здебільшого позиціонувався як «нормативна сила», що спирається на економічну потужність, дипломатію та привабливість своєї моделі розвитку, то російська агресія стимулювала переорієнтацію на розвиток військового потенціалу як необхідної умови забезпечення європейської безпеки. У промові 13 вересня 2022 року Голова Європейської Комісії Урсула фон дер Ляєн наголосила: «Ми повинні інвестувати більше у європейську оборону. Якщо ми серйозно ставимося до загрози ззовні, нам потрібні не лише більш сучасні військові спроможності, але й політична воля для їхнього використання». Показово, що риторика європейських лідерів стала значно жорсткішою: зокрема, Високий представник ЄС Жозеп Боррель закликав Європу «навчитися використовувати мову сили» та активніше розвивати оборонний потенціал для захисту від зовнішніх загроз [11].</w:t>
      </w:r>
    </w:p>
    <w:p w14:paraId="6A87E2FF" w14:textId="77777777" w:rsidR="006533B3" w:rsidRPr="006533B3" w:rsidRDefault="006533B3" w:rsidP="006533B3">
      <w:pPr>
        <w:pStyle w:val="whitespace-normal"/>
        <w:spacing w:before="0" w:beforeAutospacing="0" w:after="0" w:afterAutospacing="0" w:line="360" w:lineRule="auto"/>
        <w:ind w:firstLine="709"/>
        <w:jc w:val="both"/>
        <w:rPr>
          <w:sz w:val="28"/>
          <w:szCs w:val="28"/>
        </w:rPr>
      </w:pPr>
      <w:r w:rsidRPr="006533B3">
        <w:rPr>
          <w:sz w:val="28"/>
          <w:szCs w:val="28"/>
        </w:rPr>
        <w:t>Концепція «стратегічної автономії», що з'явилася у Глобальній стратегії ЄС 2016 року, набула нового значення та практичного наповнення після початку повномасштабної російсько-української війни. Трансформація безпекового середовища стимулювала переосмислення сутності стратегічної автономії ЄС, що почала трактуватися не лише як спроможність діяти автономно від США у кризових ситуаціях, але як комплексна здатність Європи захищати власні інтереси та цінності в умовах зростаючої геополітичної конкуренції та гібридних загроз. Стратегічна автономія у новому розумінні охоплює не лише військово-</w:t>
      </w:r>
      <w:r w:rsidRPr="006533B3">
        <w:rPr>
          <w:sz w:val="28"/>
          <w:szCs w:val="28"/>
        </w:rPr>
        <w:lastRenderedPageBreak/>
        <w:t>політичний вимір, але й енергетичну безпеку, технологічний суверенітет, стійкість критичної інфраструктури та захист від гібридних загроз, включаючи кібератаки, дезінформацію та економічний тиск. Війна в Україні стимулювала перехід від концептуальних дискусій до практичних кроків з посилення стратегічної автономії, зокрема, через диверсифікацію енергетичних поставок, зменшення залежності від російських енергоносіїв, посилення кібербезпеки та протидію іноземному втручанню в демократичні процеси [12].</w:t>
      </w:r>
    </w:p>
    <w:p w14:paraId="7A1C485E" w14:textId="77777777" w:rsidR="006533B3" w:rsidRDefault="006533B3" w:rsidP="006533B3">
      <w:pPr>
        <w:pStyle w:val="whitespace-normal"/>
        <w:spacing w:before="0" w:beforeAutospacing="0" w:after="0" w:afterAutospacing="0" w:line="360" w:lineRule="auto"/>
        <w:ind w:firstLine="709"/>
        <w:jc w:val="both"/>
        <w:rPr>
          <w:sz w:val="28"/>
          <w:szCs w:val="28"/>
          <w:lang w:val="uk-UA"/>
        </w:rPr>
      </w:pPr>
      <w:r w:rsidRPr="006533B3">
        <w:rPr>
          <w:sz w:val="28"/>
          <w:szCs w:val="28"/>
        </w:rPr>
        <w:t>Переосмислення стратегічних підходів ЄС проявилося також у геополітизації зовнішньої політики Союзу та посиленні акценту на безпекові аспекти відносин з третіми країнами. Якщо раніше зовнішня політика ЄС орієнтувалася переважно на торговельно-економічні відносини та нормативний вплив, то внаслідок російської агресії проти України безпекові міркування набули пріоритетного значення у структуруванні зовнішніх відносин. Президентка Європейської Комісії Урсула фон дер Ляєн визначила «геополітичну Комісію» як стратегічний пріоритет свого мандату, що відображає нове розуміння ролі ЄС у світі. Геополітизація зовнішньої політики призвела до переоцінки відносин з ключовими міжнародними акторами, зокрема, з Китаєм, який після початку повномасштабної війни почав розглядатися не лише як «системний конкурент», але й як країна, що підтримує російську агресію та становить потенційну загрозу для європейської безпеки. Посилення геополітичного виміру проявилося також у більш активній взаємодії з країнами Індо-Тихоокеанського регіону, Африки та Латинської Америки з метою формування глобальних коаліцій протидії російській агресії [13].</w:t>
      </w:r>
    </w:p>
    <w:p w14:paraId="7CD9BB1B" w14:textId="77777777" w:rsidR="0012394F" w:rsidRDefault="0012394F" w:rsidP="006533B3">
      <w:pPr>
        <w:pStyle w:val="whitespace-normal"/>
        <w:spacing w:before="0" w:beforeAutospacing="0" w:after="0" w:afterAutospacing="0" w:line="360" w:lineRule="auto"/>
        <w:ind w:firstLine="709"/>
        <w:jc w:val="both"/>
        <w:rPr>
          <w:sz w:val="28"/>
          <w:szCs w:val="28"/>
          <w:lang w:val="uk-UA"/>
        </w:rPr>
      </w:pPr>
    </w:p>
    <w:p w14:paraId="3F9CBB35" w14:textId="77777777" w:rsidR="0012394F" w:rsidRDefault="0012394F" w:rsidP="006533B3">
      <w:pPr>
        <w:pStyle w:val="whitespace-normal"/>
        <w:spacing w:before="0" w:beforeAutospacing="0" w:after="0" w:afterAutospacing="0" w:line="360" w:lineRule="auto"/>
        <w:ind w:firstLine="709"/>
        <w:jc w:val="both"/>
        <w:rPr>
          <w:sz w:val="28"/>
          <w:szCs w:val="28"/>
          <w:lang w:val="uk-UA"/>
        </w:rPr>
      </w:pPr>
    </w:p>
    <w:p w14:paraId="3370ECD1" w14:textId="77777777" w:rsidR="0012394F" w:rsidRDefault="0012394F" w:rsidP="006533B3">
      <w:pPr>
        <w:pStyle w:val="whitespace-normal"/>
        <w:spacing w:before="0" w:beforeAutospacing="0" w:after="0" w:afterAutospacing="0" w:line="360" w:lineRule="auto"/>
        <w:ind w:firstLine="709"/>
        <w:jc w:val="both"/>
        <w:rPr>
          <w:sz w:val="28"/>
          <w:szCs w:val="28"/>
          <w:lang w:val="uk-UA"/>
        </w:rPr>
      </w:pPr>
    </w:p>
    <w:p w14:paraId="5C60B430" w14:textId="77777777" w:rsidR="0012394F" w:rsidRDefault="0012394F" w:rsidP="006533B3">
      <w:pPr>
        <w:pStyle w:val="whitespace-normal"/>
        <w:spacing w:before="0" w:beforeAutospacing="0" w:after="0" w:afterAutospacing="0" w:line="360" w:lineRule="auto"/>
        <w:ind w:firstLine="709"/>
        <w:jc w:val="both"/>
        <w:rPr>
          <w:sz w:val="28"/>
          <w:szCs w:val="28"/>
          <w:lang w:val="uk-UA"/>
        </w:rPr>
      </w:pPr>
    </w:p>
    <w:p w14:paraId="24E0FC4F" w14:textId="77777777" w:rsidR="0012394F" w:rsidRDefault="0012394F" w:rsidP="006533B3">
      <w:pPr>
        <w:pStyle w:val="whitespace-normal"/>
        <w:spacing w:before="0" w:beforeAutospacing="0" w:after="0" w:afterAutospacing="0" w:line="360" w:lineRule="auto"/>
        <w:ind w:firstLine="709"/>
        <w:jc w:val="both"/>
        <w:rPr>
          <w:sz w:val="28"/>
          <w:szCs w:val="28"/>
          <w:lang w:val="uk-UA"/>
        </w:rPr>
      </w:pPr>
    </w:p>
    <w:p w14:paraId="2F4A530C" w14:textId="77777777" w:rsidR="0012394F" w:rsidRPr="0012394F" w:rsidRDefault="0012394F" w:rsidP="006533B3">
      <w:pPr>
        <w:pStyle w:val="whitespace-normal"/>
        <w:spacing w:before="0" w:beforeAutospacing="0" w:after="0" w:afterAutospacing="0" w:line="360" w:lineRule="auto"/>
        <w:ind w:firstLine="709"/>
        <w:jc w:val="both"/>
        <w:rPr>
          <w:sz w:val="28"/>
          <w:szCs w:val="28"/>
          <w:lang w:val="uk-UA"/>
        </w:rPr>
      </w:pPr>
    </w:p>
    <w:p w14:paraId="2A114865" w14:textId="3571867C" w:rsidR="006533B3" w:rsidRPr="0012394F" w:rsidRDefault="006533B3" w:rsidP="0012394F">
      <w:pPr>
        <w:pStyle w:val="whitespace-normal"/>
        <w:spacing w:before="0" w:beforeAutospacing="0" w:after="0" w:afterAutospacing="0" w:line="360" w:lineRule="auto"/>
        <w:ind w:firstLine="709"/>
        <w:jc w:val="center"/>
        <w:rPr>
          <w:sz w:val="28"/>
          <w:szCs w:val="28"/>
          <w:lang w:val="uk-UA"/>
        </w:rPr>
      </w:pPr>
      <w:r w:rsidRPr="006533B3">
        <w:rPr>
          <w:sz w:val="28"/>
          <w:szCs w:val="28"/>
        </w:rPr>
        <w:lastRenderedPageBreak/>
        <w:t>Таблиця 2.1.</w:t>
      </w:r>
      <w:r w:rsidR="0012394F">
        <w:rPr>
          <w:sz w:val="28"/>
          <w:szCs w:val="28"/>
          <w:lang w:val="uk-UA"/>
        </w:rPr>
        <w:t xml:space="preserve"> –</w:t>
      </w:r>
      <w:r w:rsidRPr="006533B3">
        <w:rPr>
          <w:sz w:val="28"/>
          <w:szCs w:val="28"/>
        </w:rPr>
        <w:t xml:space="preserve"> Трансформація стратегічних підходів ЄС після повномасштабного російського вторгнення в Україну</w:t>
      </w:r>
    </w:p>
    <w:tbl>
      <w:tblPr>
        <w:tblStyle w:val="a7"/>
        <w:tblW w:w="9741" w:type="dxa"/>
        <w:tblInd w:w="595" w:type="dxa"/>
        <w:tblLook w:val="04A0" w:firstRow="1" w:lastRow="0" w:firstColumn="1" w:lastColumn="0" w:noHBand="0" w:noVBand="1"/>
      </w:tblPr>
      <w:tblGrid>
        <w:gridCol w:w="2340"/>
        <w:gridCol w:w="3296"/>
        <w:gridCol w:w="4105"/>
      </w:tblGrid>
      <w:tr w:rsidR="006533B3" w:rsidRPr="0012394F" w14:paraId="4C3B77D2" w14:textId="77777777" w:rsidTr="0012394F">
        <w:tc>
          <w:tcPr>
            <w:tcW w:w="0" w:type="auto"/>
            <w:hideMark/>
          </w:tcPr>
          <w:p w14:paraId="7413031C" w14:textId="77777777" w:rsidR="006533B3" w:rsidRPr="0012394F" w:rsidRDefault="006533B3" w:rsidP="0012394F">
            <w:pPr>
              <w:jc w:val="left"/>
            </w:pPr>
            <w:proofErr w:type="spellStart"/>
            <w:r w:rsidRPr="0012394F">
              <w:t>Стратегічний</w:t>
            </w:r>
            <w:proofErr w:type="spellEnd"/>
            <w:r w:rsidRPr="0012394F">
              <w:t xml:space="preserve"> </w:t>
            </w:r>
            <w:proofErr w:type="spellStart"/>
            <w:r w:rsidRPr="0012394F">
              <w:t>підхід</w:t>
            </w:r>
            <w:proofErr w:type="spellEnd"/>
          </w:p>
        </w:tc>
        <w:tc>
          <w:tcPr>
            <w:tcW w:w="0" w:type="auto"/>
            <w:hideMark/>
          </w:tcPr>
          <w:p w14:paraId="186B40C3" w14:textId="77777777" w:rsidR="006533B3" w:rsidRPr="0012394F" w:rsidRDefault="006533B3" w:rsidP="0012394F">
            <w:pPr>
              <w:jc w:val="left"/>
            </w:pPr>
            <w:r w:rsidRPr="0012394F">
              <w:t xml:space="preserve">До </w:t>
            </w:r>
            <w:proofErr w:type="spellStart"/>
            <w:r w:rsidRPr="0012394F">
              <w:t>повномасштабного</w:t>
            </w:r>
            <w:proofErr w:type="spellEnd"/>
            <w:r w:rsidRPr="0012394F">
              <w:t xml:space="preserve"> </w:t>
            </w:r>
            <w:proofErr w:type="spellStart"/>
            <w:r w:rsidRPr="0012394F">
              <w:t>вторгнення</w:t>
            </w:r>
            <w:proofErr w:type="spellEnd"/>
          </w:p>
        </w:tc>
        <w:tc>
          <w:tcPr>
            <w:tcW w:w="0" w:type="auto"/>
            <w:hideMark/>
          </w:tcPr>
          <w:p w14:paraId="65A0286B" w14:textId="77777777" w:rsidR="006533B3" w:rsidRPr="0012394F" w:rsidRDefault="006533B3" w:rsidP="0012394F">
            <w:pPr>
              <w:jc w:val="left"/>
            </w:pPr>
            <w:proofErr w:type="spellStart"/>
            <w:r w:rsidRPr="0012394F">
              <w:t>Після</w:t>
            </w:r>
            <w:proofErr w:type="spellEnd"/>
            <w:r w:rsidRPr="0012394F">
              <w:t xml:space="preserve"> </w:t>
            </w:r>
            <w:proofErr w:type="spellStart"/>
            <w:r w:rsidRPr="0012394F">
              <w:t>повномасштабного</w:t>
            </w:r>
            <w:proofErr w:type="spellEnd"/>
            <w:r w:rsidRPr="0012394F">
              <w:t xml:space="preserve"> </w:t>
            </w:r>
            <w:proofErr w:type="spellStart"/>
            <w:r w:rsidRPr="0012394F">
              <w:t>вторгнення</w:t>
            </w:r>
            <w:proofErr w:type="spellEnd"/>
          </w:p>
        </w:tc>
      </w:tr>
      <w:tr w:rsidR="006533B3" w:rsidRPr="0012394F" w14:paraId="0E78E0DD" w14:textId="77777777" w:rsidTr="0012394F">
        <w:tc>
          <w:tcPr>
            <w:tcW w:w="0" w:type="auto"/>
            <w:hideMark/>
          </w:tcPr>
          <w:p w14:paraId="2070A329" w14:textId="77777777" w:rsidR="006533B3" w:rsidRPr="0012394F" w:rsidRDefault="006533B3" w:rsidP="0012394F">
            <w:pPr>
              <w:jc w:val="left"/>
            </w:pPr>
            <w:proofErr w:type="spellStart"/>
            <w:r w:rsidRPr="0012394F">
              <w:t>Сприйняття</w:t>
            </w:r>
            <w:proofErr w:type="spellEnd"/>
            <w:r w:rsidRPr="0012394F">
              <w:t xml:space="preserve"> </w:t>
            </w:r>
            <w:proofErr w:type="spellStart"/>
            <w:r w:rsidRPr="0012394F">
              <w:t>Росії</w:t>
            </w:r>
            <w:proofErr w:type="spellEnd"/>
          </w:p>
        </w:tc>
        <w:tc>
          <w:tcPr>
            <w:tcW w:w="0" w:type="auto"/>
            <w:hideMark/>
          </w:tcPr>
          <w:p w14:paraId="1C3016A4" w14:textId="77777777" w:rsidR="006533B3" w:rsidRPr="0012394F" w:rsidRDefault="006533B3" w:rsidP="0012394F">
            <w:pPr>
              <w:jc w:val="left"/>
            </w:pPr>
            <w:proofErr w:type="spellStart"/>
            <w:r w:rsidRPr="0012394F">
              <w:t>Стратегічний</w:t>
            </w:r>
            <w:proofErr w:type="spellEnd"/>
            <w:r w:rsidRPr="0012394F">
              <w:t xml:space="preserve"> партнер / </w:t>
            </w:r>
            <w:proofErr w:type="spellStart"/>
            <w:r w:rsidRPr="0012394F">
              <w:t>виклик</w:t>
            </w:r>
            <w:proofErr w:type="spellEnd"/>
          </w:p>
        </w:tc>
        <w:tc>
          <w:tcPr>
            <w:tcW w:w="0" w:type="auto"/>
            <w:hideMark/>
          </w:tcPr>
          <w:p w14:paraId="7BE154A3" w14:textId="77777777" w:rsidR="006533B3" w:rsidRPr="0012394F" w:rsidRDefault="006533B3" w:rsidP="0012394F">
            <w:pPr>
              <w:jc w:val="left"/>
            </w:pPr>
            <w:proofErr w:type="spellStart"/>
            <w:r w:rsidRPr="0012394F">
              <w:t>Довгострокова</w:t>
            </w:r>
            <w:proofErr w:type="spellEnd"/>
            <w:r w:rsidRPr="0012394F">
              <w:t xml:space="preserve"> системна </w:t>
            </w:r>
            <w:proofErr w:type="spellStart"/>
            <w:r w:rsidRPr="0012394F">
              <w:t>загроза</w:t>
            </w:r>
            <w:proofErr w:type="spellEnd"/>
          </w:p>
        </w:tc>
      </w:tr>
      <w:tr w:rsidR="006533B3" w:rsidRPr="0012394F" w14:paraId="4C398782" w14:textId="77777777" w:rsidTr="0012394F">
        <w:tc>
          <w:tcPr>
            <w:tcW w:w="0" w:type="auto"/>
            <w:hideMark/>
          </w:tcPr>
          <w:p w14:paraId="4E572420" w14:textId="77777777" w:rsidR="006533B3" w:rsidRPr="0012394F" w:rsidRDefault="006533B3" w:rsidP="0012394F">
            <w:pPr>
              <w:jc w:val="left"/>
            </w:pPr>
            <w:proofErr w:type="spellStart"/>
            <w:r w:rsidRPr="0012394F">
              <w:t>Безпекова</w:t>
            </w:r>
            <w:proofErr w:type="spellEnd"/>
            <w:r w:rsidRPr="0012394F">
              <w:t xml:space="preserve"> парадигма</w:t>
            </w:r>
          </w:p>
        </w:tc>
        <w:tc>
          <w:tcPr>
            <w:tcW w:w="0" w:type="auto"/>
            <w:hideMark/>
          </w:tcPr>
          <w:p w14:paraId="0011AF0E" w14:textId="77777777" w:rsidR="006533B3" w:rsidRPr="0012394F" w:rsidRDefault="006533B3" w:rsidP="0012394F">
            <w:pPr>
              <w:jc w:val="left"/>
            </w:pPr>
            <w:r w:rsidRPr="0012394F">
              <w:t>"</w:t>
            </w:r>
            <w:proofErr w:type="spellStart"/>
            <w:r w:rsidRPr="0012394F">
              <w:t>М'яка</w:t>
            </w:r>
            <w:proofErr w:type="spellEnd"/>
            <w:r w:rsidRPr="0012394F">
              <w:t xml:space="preserve"> сила", </w:t>
            </w:r>
            <w:proofErr w:type="spellStart"/>
            <w:r w:rsidRPr="0012394F">
              <w:t>нормативний</w:t>
            </w:r>
            <w:proofErr w:type="spellEnd"/>
            <w:r w:rsidRPr="0012394F">
              <w:t xml:space="preserve"> </w:t>
            </w:r>
            <w:proofErr w:type="spellStart"/>
            <w:r w:rsidRPr="0012394F">
              <w:t>вплив</w:t>
            </w:r>
            <w:proofErr w:type="spellEnd"/>
            <w:r w:rsidRPr="0012394F">
              <w:t xml:space="preserve">, </w:t>
            </w:r>
            <w:proofErr w:type="spellStart"/>
            <w:r w:rsidRPr="0012394F">
              <w:t>економічні</w:t>
            </w:r>
            <w:proofErr w:type="spellEnd"/>
            <w:r w:rsidRPr="0012394F">
              <w:t xml:space="preserve"> </w:t>
            </w:r>
            <w:proofErr w:type="spellStart"/>
            <w:r w:rsidRPr="0012394F">
              <w:t>важелі</w:t>
            </w:r>
            <w:proofErr w:type="spellEnd"/>
          </w:p>
        </w:tc>
        <w:tc>
          <w:tcPr>
            <w:tcW w:w="0" w:type="auto"/>
            <w:hideMark/>
          </w:tcPr>
          <w:p w14:paraId="41754DE1" w14:textId="77777777" w:rsidR="006533B3" w:rsidRPr="0012394F" w:rsidRDefault="006533B3" w:rsidP="0012394F">
            <w:pPr>
              <w:jc w:val="left"/>
            </w:pPr>
            <w:proofErr w:type="spellStart"/>
            <w:r w:rsidRPr="0012394F">
              <w:t>Посилення</w:t>
            </w:r>
            <w:proofErr w:type="spellEnd"/>
            <w:r w:rsidRPr="0012394F">
              <w:t xml:space="preserve"> "</w:t>
            </w:r>
            <w:proofErr w:type="spellStart"/>
            <w:r w:rsidRPr="0012394F">
              <w:t>жорсткої</w:t>
            </w:r>
            <w:proofErr w:type="spellEnd"/>
            <w:r w:rsidRPr="0012394F">
              <w:t xml:space="preserve"> </w:t>
            </w:r>
            <w:proofErr w:type="spellStart"/>
            <w:r w:rsidRPr="0012394F">
              <w:t>сили</w:t>
            </w:r>
            <w:proofErr w:type="spellEnd"/>
            <w:r w:rsidRPr="0012394F">
              <w:t xml:space="preserve">", </w:t>
            </w:r>
            <w:proofErr w:type="spellStart"/>
            <w:r w:rsidRPr="0012394F">
              <w:t>мілітаризація</w:t>
            </w:r>
            <w:proofErr w:type="spellEnd"/>
            <w:r w:rsidRPr="0012394F">
              <w:t xml:space="preserve"> </w:t>
            </w:r>
            <w:proofErr w:type="spellStart"/>
            <w:r w:rsidRPr="0012394F">
              <w:t>безпекового</w:t>
            </w:r>
            <w:proofErr w:type="spellEnd"/>
            <w:r w:rsidRPr="0012394F">
              <w:t xml:space="preserve"> дискурсу</w:t>
            </w:r>
          </w:p>
        </w:tc>
      </w:tr>
      <w:tr w:rsidR="006533B3" w:rsidRPr="0012394F" w14:paraId="470E844D" w14:textId="77777777" w:rsidTr="0012394F">
        <w:tc>
          <w:tcPr>
            <w:tcW w:w="0" w:type="auto"/>
            <w:hideMark/>
          </w:tcPr>
          <w:p w14:paraId="56105460" w14:textId="77777777" w:rsidR="006533B3" w:rsidRPr="0012394F" w:rsidRDefault="006533B3" w:rsidP="0012394F">
            <w:pPr>
              <w:jc w:val="left"/>
            </w:pPr>
            <w:proofErr w:type="spellStart"/>
            <w:r w:rsidRPr="0012394F">
              <w:t>Стратегічна</w:t>
            </w:r>
            <w:proofErr w:type="spellEnd"/>
            <w:r w:rsidRPr="0012394F">
              <w:t xml:space="preserve"> </w:t>
            </w:r>
            <w:proofErr w:type="spellStart"/>
            <w:r w:rsidRPr="0012394F">
              <w:t>автономія</w:t>
            </w:r>
            <w:proofErr w:type="spellEnd"/>
          </w:p>
        </w:tc>
        <w:tc>
          <w:tcPr>
            <w:tcW w:w="0" w:type="auto"/>
            <w:hideMark/>
          </w:tcPr>
          <w:p w14:paraId="4B81D206" w14:textId="77777777" w:rsidR="006533B3" w:rsidRPr="0012394F" w:rsidRDefault="006533B3" w:rsidP="0012394F">
            <w:pPr>
              <w:jc w:val="left"/>
            </w:pPr>
            <w:r w:rsidRPr="0012394F">
              <w:t xml:space="preserve">Концептуальна </w:t>
            </w:r>
            <w:proofErr w:type="spellStart"/>
            <w:r w:rsidRPr="0012394F">
              <w:t>дискусія</w:t>
            </w:r>
            <w:proofErr w:type="spellEnd"/>
            <w:r w:rsidRPr="0012394F">
              <w:t xml:space="preserve">, акцент на </w:t>
            </w:r>
            <w:proofErr w:type="spellStart"/>
            <w:r w:rsidRPr="0012394F">
              <w:t>операційній</w:t>
            </w:r>
            <w:proofErr w:type="spellEnd"/>
            <w:r w:rsidRPr="0012394F">
              <w:t xml:space="preserve"> </w:t>
            </w:r>
            <w:proofErr w:type="spellStart"/>
            <w:r w:rsidRPr="0012394F">
              <w:t>автономії</w:t>
            </w:r>
            <w:proofErr w:type="spellEnd"/>
            <w:r w:rsidRPr="0012394F">
              <w:t xml:space="preserve"> </w:t>
            </w:r>
            <w:proofErr w:type="spellStart"/>
            <w:r w:rsidRPr="0012394F">
              <w:t>від</w:t>
            </w:r>
            <w:proofErr w:type="spellEnd"/>
            <w:r w:rsidRPr="0012394F">
              <w:t xml:space="preserve"> США</w:t>
            </w:r>
          </w:p>
        </w:tc>
        <w:tc>
          <w:tcPr>
            <w:tcW w:w="0" w:type="auto"/>
            <w:hideMark/>
          </w:tcPr>
          <w:p w14:paraId="4E630047" w14:textId="77777777" w:rsidR="006533B3" w:rsidRPr="0012394F" w:rsidRDefault="006533B3" w:rsidP="0012394F">
            <w:pPr>
              <w:jc w:val="left"/>
            </w:pPr>
            <w:r w:rsidRPr="0012394F">
              <w:t xml:space="preserve">Практична </w:t>
            </w:r>
            <w:proofErr w:type="spellStart"/>
            <w:r w:rsidRPr="0012394F">
              <w:t>імплементація</w:t>
            </w:r>
            <w:proofErr w:type="spellEnd"/>
            <w:r w:rsidRPr="0012394F">
              <w:t xml:space="preserve">, </w:t>
            </w:r>
            <w:proofErr w:type="spellStart"/>
            <w:r w:rsidRPr="0012394F">
              <w:t>посилення</w:t>
            </w:r>
            <w:proofErr w:type="spellEnd"/>
            <w:r w:rsidRPr="0012394F">
              <w:t xml:space="preserve"> </w:t>
            </w:r>
            <w:proofErr w:type="spellStart"/>
            <w:r w:rsidRPr="0012394F">
              <w:t>енергетичної</w:t>
            </w:r>
            <w:proofErr w:type="spellEnd"/>
            <w:r w:rsidRPr="0012394F">
              <w:t xml:space="preserve">, </w:t>
            </w:r>
            <w:proofErr w:type="spellStart"/>
            <w:r w:rsidRPr="0012394F">
              <w:t>технологічної</w:t>
            </w:r>
            <w:proofErr w:type="spellEnd"/>
            <w:r w:rsidRPr="0012394F">
              <w:t xml:space="preserve"> та </w:t>
            </w:r>
            <w:proofErr w:type="spellStart"/>
            <w:r w:rsidRPr="0012394F">
              <w:t>оборонної</w:t>
            </w:r>
            <w:proofErr w:type="spellEnd"/>
            <w:r w:rsidRPr="0012394F">
              <w:t xml:space="preserve"> </w:t>
            </w:r>
            <w:proofErr w:type="spellStart"/>
            <w:r w:rsidRPr="0012394F">
              <w:t>автономії</w:t>
            </w:r>
            <w:proofErr w:type="spellEnd"/>
          </w:p>
        </w:tc>
      </w:tr>
      <w:tr w:rsidR="006533B3" w:rsidRPr="0012394F" w14:paraId="7ADFEDCB" w14:textId="77777777" w:rsidTr="0012394F">
        <w:tc>
          <w:tcPr>
            <w:tcW w:w="0" w:type="auto"/>
            <w:hideMark/>
          </w:tcPr>
          <w:p w14:paraId="12F65604" w14:textId="77777777" w:rsidR="006533B3" w:rsidRPr="0012394F" w:rsidRDefault="006533B3" w:rsidP="0012394F">
            <w:pPr>
              <w:jc w:val="left"/>
            </w:pPr>
            <w:proofErr w:type="spellStart"/>
            <w:r w:rsidRPr="0012394F">
              <w:t>Геополітичне</w:t>
            </w:r>
            <w:proofErr w:type="spellEnd"/>
            <w:r w:rsidRPr="0012394F">
              <w:t xml:space="preserve"> </w:t>
            </w:r>
            <w:proofErr w:type="spellStart"/>
            <w:r w:rsidRPr="0012394F">
              <w:t>позиціонування</w:t>
            </w:r>
            <w:proofErr w:type="spellEnd"/>
          </w:p>
        </w:tc>
        <w:tc>
          <w:tcPr>
            <w:tcW w:w="0" w:type="auto"/>
            <w:hideMark/>
          </w:tcPr>
          <w:p w14:paraId="0F4E9B57" w14:textId="77777777" w:rsidR="006533B3" w:rsidRPr="0012394F" w:rsidRDefault="006533B3" w:rsidP="0012394F">
            <w:pPr>
              <w:jc w:val="left"/>
            </w:pPr>
            <w:proofErr w:type="spellStart"/>
            <w:r w:rsidRPr="0012394F">
              <w:t>Переважно</w:t>
            </w:r>
            <w:proofErr w:type="spellEnd"/>
            <w:r w:rsidRPr="0012394F">
              <w:t xml:space="preserve"> </w:t>
            </w:r>
            <w:proofErr w:type="spellStart"/>
            <w:r w:rsidRPr="0012394F">
              <w:t>економічний</w:t>
            </w:r>
            <w:proofErr w:type="spellEnd"/>
            <w:r w:rsidRPr="0012394F">
              <w:t xml:space="preserve"> </w:t>
            </w:r>
            <w:proofErr w:type="spellStart"/>
            <w:r w:rsidRPr="0012394F">
              <w:t>актор</w:t>
            </w:r>
            <w:proofErr w:type="spellEnd"/>
            <w:r w:rsidRPr="0012394F">
              <w:t>, "нормативна сила"</w:t>
            </w:r>
          </w:p>
        </w:tc>
        <w:tc>
          <w:tcPr>
            <w:tcW w:w="0" w:type="auto"/>
            <w:hideMark/>
          </w:tcPr>
          <w:p w14:paraId="55AA21CF" w14:textId="77777777" w:rsidR="006533B3" w:rsidRPr="0012394F" w:rsidRDefault="006533B3" w:rsidP="0012394F">
            <w:pPr>
              <w:jc w:val="left"/>
            </w:pPr>
            <w:r w:rsidRPr="0012394F">
              <w:t>"</w:t>
            </w:r>
            <w:proofErr w:type="spellStart"/>
            <w:r w:rsidRPr="0012394F">
              <w:t>Геополітичний</w:t>
            </w:r>
            <w:proofErr w:type="spellEnd"/>
            <w:r w:rsidRPr="0012394F">
              <w:t xml:space="preserve"> </w:t>
            </w:r>
            <w:proofErr w:type="spellStart"/>
            <w:r w:rsidRPr="0012394F">
              <w:t>актор</w:t>
            </w:r>
            <w:proofErr w:type="spellEnd"/>
            <w:r w:rsidRPr="0012394F">
              <w:t xml:space="preserve">", </w:t>
            </w:r>
            <w:proofErr w:type="spellStart"/>
            <w:r w:rsidRPr="0012394F">
              <w:t>посилення</w:t>
            </w:r>
            <w:proofErr w:type="spellEnd"/>
            <w:r w:rsidRPr="0012394F">
              <w:t xml:space="preserve"> </w:t>
            </w:r>
            <w:proofErr w:type="spellStart"/>
            <w:r w:rsidRPr="0012394F">
              <w:t>безпекового</w:t>
            </w:r>
            <w:proofErr w:type="spellEnd"/>
            <w:r w:rsidRPr="0012394F">
              <w:t xml:space="preserve"> </w:t>
            </w:r>
            <w:proofErr w:type="spellStart"/>
            <w:r w:rsidRPr="0012394F">
              <w:t>виміру</w:t>
            </w:r>
            <w:proofErr w:type="spellEnd"/>
            <w:r w:rsidRPr="0012394F">
              <w:t xml:space="preserve"> </w:t>
            </w:r>
            <w:proofErr w:type="spellStart"/>
            <w:r w:rsidRPr="0012394F">
              <w:t>зовнішніх</w:t>
            </w:r>
            <w:proofErr w:type="spellEnd"/>
            <w:r w:rsidRPr="0012394F">
              <w:t xml:space="preserve"> </w:t>
            </w:r>
            <w:proofErr w:type="spellStart"/>
            <w:r w:rsidRPr="0012394F">
              <w:t>відносин</w:t>
            </w:r>
            <w:proofErr w:type="spellEnd"/>
          </w:p>
        </w:tc>
      </w:tr>
      <w:tr w:rsidR="006533B3" w:rsidRPr="0012394F" w14:paraId="0A0FA514" w14:textId="77777777" w:rsidTr="0012394F">
        <w:tc>
          <w:tcPr>
            <w:tcW w:w="0" w:type="auto"/>
            <w:hideMark/>
          </w:tcPr>
          <w:p w14:paraId="7BB27EA7" w14:textId="77777777" w:rsidR="006533B3" w:rsidRPr="0012394F" w:rsidRDefault="006533B3" w:rsidP="0012394F">
            <w:pPr>
              <w:jc w:val="left"/>
            </w:pPr>
            <w:proofErr w:type="spellStart"/>
            <w:r w:rsidRPr="0012394F">
              <w:t>Зв'язок</w:t>
            </w:r>
            <w:proofErr w:type="spellEnd"/>
            <w:r w:rsidRPr="0012394F">
              <w:t xml:space="preserve"> з НАТО</w:t>
            </w:r>
          </w:p>
        </w:tc>
        <w:tc>
          <w:tcPr>
            <w:tcW w:w="0" w:type="auto"/>
            <w:hideMark/>
          </w:tcPr>
          <w:p w14:paraId="09B1BAE4" w14:textId="77777777" w:rsidR="006533B3" w:rsidRPr="0012394F" w:rsidRDefault="006533B3" w:rsidP="0012394F">
            <w:pPr>
              <w:jc w:val="left"/>
            </w:pPr>
            <w:r w:rsidRPr="0012394F">
              <w:t>Акцент на "</w:t>
            </w:r>
            <w:proofErr w:type="spellStart"/>
            <w:r w:rsidRPr="0012394F">
              <w:t>європейський</w:t>
            </w:r>
            <w:proofErr w:type="spellEnd"/>
            <w:r w:rsidRPr="0012394F">
              <w:t xml:space="preserve"> </w:t>
            </w:r>
            <w:proofErr w:type="spellStart"/>
            <w:r w:rsidRPr="0012394F">
              <w:t>стовп</w:t>
            </w:r>
            <w:proofErr w:type="spellEnd"/>
            <w:r w:rsidRPr="0012394F">
              <w:t xml:space="preserve">" НАТО, </w:t>
            </w:r>
            <w:proofErr w:type="spellStart"/>
            <w:r w:rsidRPr="0012394F">
              <w:t>уникнення</w:t>
            </w:r>
            <w:proofErr w:type="spellEnd"/>
            <w:r w:rsidRPr="0012394F">
              <w:t xml:space="preserve"> </w:t>
            </w:r>
            <w:proofErr w:type="spellStart"/>
            <w:r w:rsidRPr="0012394F">
              <w:t>дублювання</w:t>
            </w:r>
            <w:proofErr w:type="spellEnd"/>
          </w:p>
        </w:tc>
        <w:tc>
          <w:tcPr>
            <w:tcW w:w="0" w:type="auto"/>
            <w:hideMark/>
          </w:tcPr>
          <w:p w14:paraId="025B77CD" w14:textId="77777777" w:rsidR="006533B3" w:rsidRPr="0012394F" w:rsidRDefault="006533B3" w:rsidP="0012394F">
            <w:pPr>
              <w:jc w:val="left"/>
            </w:pPr>
            <w:proofErr w:type="spellStart"/>
            <w:r w:rsidRPr="0012394F">
              <w:t>Посилення</w:t>
            </w:r>
            <w:proofErr w:type="spellEnd"/>
            <w:r w:rsidRPr="0012394F">
              <w:t xml:space="preserve"> </w:t>
            </w:r>
            <w:proofErr w:type="spellStart"/>
            <w:r w:rsidRPr="0012394F">
              <w:t>взаємодоповнюваності</w:t>
            </w:r>
            <w:proofErr w:type="spellEnd"/>
            <w:r w:rsidRPr="0012394F">
              <w:t xml:space="preserve">, </w:t>
            </w:r>
            <w:proofErr w:type="spellStart"/>
            <w:r w:rsidRPr="0012394F">
              <w:t>активізація</w:t>
            </w:r>
            <w:proofErr w:type="spellEnd"/>
            <w:r w:rsidRPr="0012394F">
              <w:t xml:space="preserve"> </w:t>
            </w:r>
            <w:proofErr w:type="spellStart"/>
            <w:r w:rsidRPr="0012394F">
              <w:t>співпраці</w:t>
            </w:r>
            <w:proofErr w:type="spellEnd"/>
            <w:r w:rsidRPr="0012394F">
              <w:t xml:space="preserve"> при </w:t>
            </w:r>
            <w:proofErr w:type="spellStart"/>
            <w:r w:rsidRPr="0012394F">
              <w:t>збереженні</w:t>
            </w:r>
            <w:proofErr w:type="spellEnd"/>
            <w:r w:rsidRPr="0012394F">
              <w:t xml:space="preserve"> </w:t>
            </w:r>
            <w:proofErr w:type="spellStart"/>
            <w:r w:rsidRPr="0012394F">
              <w:t>автономії</w:t>
            </w:r>
            <w:proofErr w:type="spellEnd"/>
            <w:r w:rsidRPr="0012394F">
              <w:t xml:space="preserve"> ЄС</w:t>
            </w:r>
          </w:p>
        </w:tc>
      </w:tr>
    </w:tbl>
    <w:p w14:paraId="7C5FB8F4" w14:textId="77777777" w:rsidR="0012394F" w:rsidRDefault="0012394F" w:rsidP="006533B3">
      <w:pPr>
        <w:pStyle w:val="whitespace-normal"/>
        <w:spacing w:before="0" w:beforeAutospacing="0" w:after="0" w:afterAutospacing="0" w:line="360" w:lineRule="auto"/>
        <w:ind w:firstLine="709"/>
        <w:jc w:val="both"/>
        <w:rPr>
          <w:sz w:val="28"/>
          <w:szCs w:val="28"/>
          <w:lang w:val="uk-UA"/>
        </w:rPr>
      </w:pPr>
    </w:p>
    <w:p w14:paraId="153CAD30" w14:textId="1035D602" w:rsidR="006533B3" w:rsidRPr="006533B3" w:rsidRDefault="006533B3" w:rsidP="006533B3">
      <w:pPr>
        <w:pStyle w:val="whitespace-normal"/>
        <w:spacing w:before="0" w:beforeAutospacing="0" w:after="0" w:afterAutospacing="0" w:line="360" w:lineRule="auto"/>
        <w:ind w:firstLine="709"/>
        <w:jc w:val="both"/>
        <w:rPr>
          <w:sz w:val="28"/>
          <w:szCs w:val="28"/>
        </w:rPr>
      </w:pPr>
      <w:r w:rsidRPr="006533B3">
        <w:rPr>
          <w:sz w:val="28"/>
          <w:szCs w:val="28"/>
        </w:rPr>
        <w:t xml:space="preserve">Важливим аспектом трансформації стратегічних підходів ЄС стало переосмислення відносин з НАТО та США у сфері безпеки та оборони. Російська агресія проти України посилила усвідомлення значущості трансатлантичного партнерства для європейської безпеки та стимулювала розвиток більш прагматичного підходу до взаємодоповнюваності ЄС та НАТО. На саміті НАТО в Мадриді 29-30 червня 2022 року була прийнята нова Стратегічна концепція Альянсу, що визначила Росію як «найбільш значущу та пряму загрозу безпеці союзників», а третя спільна декларація ЄС-НАТО, підписана 10 січня 2023 року, зафіксувала безпрецедентний рівень співпраці між двома організаціями у протидії спільним викликам. Водночас, російська агресія стимулювала усвідомлення необхідності посилення автономних спроможностей ЄС у сфері безпеки та оборони не як альтернативи НАТО, а як доповнення до Альянсу та забезпечення здатності Європи діяти самостійно у випадках, коли залучення США неможливе або небажане. Концепція «європейської оборони» трансформувалась від потенційно конкурентної до комплементарної у </w:t>
      </w:r>
      <w:r w:rsidRPr="006533B3">
        <w:rPr>
          <w:sz w:val="28"/>
          <w:szCs w:val="28"/>
        </w:rPr>
        <w:lastRenderedPageBreak/>
        <w:t>відносинах з НАТО, що дозволило подолати попередні протиріччя та сфокусуватися на практичних аспектах співпраці [14].</w:t>
      </w:r>
    </w:p>
    <w:p w14:paraId="53CCC865" w14:textId="77777777" w:rsidR="006533B3" w:rsidRPr="006533B3" w:rsidRDefault="006533B3" w:rsidP="006533B3">
      <w:pPr>
        <w:pStyle w:val="whitespace-normal"/>
        <w:spacing w:before="0" w:beforeAutospacing="0" w:after="0" w:afterAutospacing="0" w:line="360" w:lineRule="auto"/>
        <w:ind w:firstLine="709"/>
        <w:jc w:val="both"/>
        <w:rPr>
          <w:sz w:val="28"/>
          <w:szCs w:val="28"/>
        </w:rPr>
      </w:pPr>
      <w:r w:rsidRPr="006533B3">
        <w:rPr>
          <w:sz w:val="28"/>
          <w:szCs w:val="28"/>
        </w:rPr>
        <w:t>Комплексною трансформацією безпекової парадигми ЄС стало переосмислення взаємозв'язку між безпекою та економікою. Якщо до 2022 року економічна взаємозалежність розглядалася як гарантія безпеки, то після початку повномасштабної війни вона почала сприйматися як потенційне джерело уразливості. Визнання того, що економічні зв'язки можуть використовуватися авторитарними режимами як інструмент геополітичного тиску, призвело до формування концепції «економічної безпеки» ЄС, що передбачає диверсифікацію ланцюгів постачання, зменшення залежності від потенційно ворожих держав у критичних секторах, стратегічне інвестування у технології подвійного призначення та захист стратегічних активів від небажаного іноземного впливу. Впровадження принципів «де-ризикингу» та «прагматичної де-глобалізації» у відносинах з авторитарними режимами стало важливим елементом нової безпекової стратегії ЄС, спрямованої на забезпечення стійкості європейської економіки до зовнішніх загроз [15].</w:t>
      </w:r>
    </w:p>
    <w:p w14:paraId="72309D99" w14:textId="77777777" w:rsidR="006533B3" w:rsidRDefault="006533B3" w:rsidP="006533B3">
      <w:pPr>
        <w:pStyle w:val="whitespace-normal"/>
        <w:spacing w:before="0" w:beforeAutospacing="0" w:after="0" w:afterAutospacing="0" w:line="360" w:lineRule="auto"/>
        <w:ind w:firstLine="709"/>
        <w:jc w:val="both"/>
        <w:rPr>
          <w:sz w:val="28"/>
          <w:szCs w:val="28"/>
          <w:lang w:val="uk-UA"/>
        </w:rPr>
      </w:pPr>
      <w:r w:rsidRPr="006533B3">
        <w:rPr>
          <w:sz w:val="28"/>
          <w:szCs w:val="28"/>
        </w:rPr>
        <w:t>Переосмислення стратегічних підходів та безпекових парадигм ЄС після початку повномасштабного російського вторгнення в Україну характеризується прискореною адаптацією до нової безпекової реальності, подоланням стратегічної наївності та формуванням більш прагматичного, реалістичного бачення викликів європейській безпеці. Трансформація стратегічного мислення ЄС охоплює визнання Росії як довгострокової системної загрози, мілітаризацію безпекового дискурсу, практичне наповнення концепції стратегічної автономії, геополітизацію зовнішньої політики, поглиблення співпраці з НАТО при збереженні автономних спроможностей та інтеграцію безпекових міркувань в економічну політику. Ключовою характеристикою нової стратегічної парадигми ЄС стало усвідомлення необхідності розвитку комплексного підходу до безпеки, що поєднує традиційні військові інструменти з економічними, технологічними, енергетичними та інформаційними компонентами. Подальша еволюція стратегічних підходів ЄС залежатиме від тривалості та інтенсивності російсько-</w:t>
      </w:r>
      <w:r w:rsidRPr="006533B3">
        <w:rPr>
          <w:sz w:val="28"/>
          <w:szCs w:val="28"/>
        </w:rPr>
        <w:lastRenderedPageBreak/>
        <w:t>української війни, ефективності колективної відповіді на російську агресію та здатності ЄС трансформувати декларативні зобов'язання у практичні спроможності [16].</w:t>
      </w:r>
    </w:p>
    <w:p w14:paraId="66619141" w14:textId="77777777" w:rsidR="0012394F" w:rsidRPr="0012394F" w:rsidRDefault="0012394F" w:rsidP="006533B3">
      <w:pPr>
        <w:pStyle w:val="whitespace-normal"/>
        <w:spacing w:before="0" w:beforeAutospacing="0" w:after="0" w:afterAutospacing="0" w:line="360" w:lineRule="auto"/>
        <w:ind w:firstLine="709"/>
        <w:jc w:val="both"/>
        <w:rPr>
          <w:sz w:val="28"/>
          <w:szCs w:val="28"/>
          <w:lang w:val="uk-UA"/>
        </w:rPr>
      </w:pPr>
    </w:p>
    <w:p w14:paraId="4E1AE314" w14:textId="77777777" w:rsidR="006533B3" w:rsidRPr="006533B3" w:rsidRDefault="006533B3" w:rsidP="0012394F">
      <w:pPr>
        <w:pStyle w:val="2"/>
      </w:pPr>
      <w:bookmarkStart w:id="8" w:name="_Toc198089416"/>
      <w:r w:rsidRPr="006533B3">
        <w:t xml:space="preserve">2.2 </w:t>
      </w:r>
      <w:proofErr w:type="spellStart"/>
      <w:r w:rsidRPr="006533B3">
        <w:t>Інтенсифікація</w:t>
      </w:r>
      <w:proofErr w:type="spellEnd"/>
      <w:r w:rsidRPr="006533B3">
        <w:t xml:space="preserve"> </w:t>
      </w:r>
      <w:proofErr w:type="spellStart"/>
      <w:r w:rsidRPr="006533B3">
        <w:t>військово-технічного</w:t>
      </w:r>
      <w:proofErr w:type="spellEnd"/>
      <w:r w:rsidRPr="006533B3">
        <w:t xml:space="preserve"> </w:t>
      </w:r>
      <w:proofErr w:type="spellStart"/>
      <w:r w:rsidRPr="006533B3">
        <w:t>співробітництва</w:t>
      </w:r>
      <w:proofErr w:type="spellEnd"/>
      <w:r w:rsidRPr="006533B3">
        <w:t xml:space="preserve"> та </w:t>
      </w:r>
      <w:proofErr w:type="spellStart"/>
      <w:r w:rsidRPr="006533B3">
        <w:t>динаміка</w:t>
      </w:r>
      <w:proofErr w:type="spellEnd"/>
      <w:r w:rsidRPr="006533B3">
        <w:t xml:space="preserve"> </w:t>
      </w:r>
      <w:proofErr w:type="spellStart"/>
      <w:r w:rsidRPr="006533B3">
        <w:t>оборонних</w:t>
      </w:r>
      <w:proofErr w:type="spellEnd"/>
      <w:r w:rsidRPr="006533B3">
        <w:t xml:space="preserve"> </w:t>
      </w:r>
      <w:proofErr w:type="spellStart"/>
      <w:r w:rsidRPr="006533B3">
        <w:t>бюджетів</w:t>
      </w:r>
      <w:proofErr w:type="spellEnd"/>
      <w:r w:rsidRPr="006533B3">
        <w:t xml:space="preserve"> держав-</w:t>
      </w:r>
      <w:proofErr w:type="spellStart"/>
      <w:r w:rsidRPr="006533B3">
        <w:t>членів</w:t>
      </w:r>
      <w:proofErr w:type="spellEnd"/>
      <w:r w:rsidRPr="006533B3">
        <w:t xml:space="preserve"> ЄС</w:t>
      </w:r>
      <w:bookmarkEnd w:id="8"/>
    </w:p>
    <w:p w14:paraId="788650B3" w14:textId="77777777" w:rsidR="006533B3" w:rsidRPr="006533B3" w:rsidRDefault="006533B3" w:rsidP="006533B3">
      <w:pPr>
        <w:pStyle w:val="whitespace-normal"/>
        <w:spacing w:before="0" w:beforeAutospacing="0" w:after="0" w:afterAutospacing="0" w:line="360" w:lineRule="auto"/>
        <w:ind w:firstLine="709"/>
        <w:jc w:val="both"/>
        <w:rPr>
          <w:sz w:val="28"/>
          <w:szCs w:val="28"/>
        </w:rPr>
      </w:pPr>
      <w:r w:rsidRPr="006533B3">
        <w:rPr>
          <w:sz w:val="28"/>
          <w:szCs w:val="28"/>
        </w:rPr>
        <w:t>Повномасштабна російська агресія проти України спричинила безпрецедентну інтенсифікацію військово-технічного співробітництва та суттєве збільшення оборонних бюджетів держав-членів Європейського Союзу. Необхідність термінової військової підтримки України та посилення власного оборонного потенціалу в умовах загострення безпекової ситуації на континенті стимулювала європейських лідерів подолати історичну інерцію мирного розвитку та здійснити радикальний перегляд підходів до фінансування оборони та військової співпраці. Канцлер Німеччини Олаф Шольц у своїй промові 27 лютого 2022 року оголосив про «переломний момент» (Zeitenwende) у німецькій та європейській безпековій політиці, що знаменував фундаментальний зсув у ставленні до військових витрат та оборонної співпраці. Усвідомлення масштабу російської загрози каталізувало процеси, які раніше розвивалися повільно та фрагментарно, призвівши до структурних змін у фінансуванні оборони, розвитку спільних проєктів та координації військових закупівель [17].</w:t>
      </w:r>
    </w:p>
    <w:p w14:paraId="53D2EC72" w14:textId="77777777" w:rsidR="006533B3" w:rsidRPr="006533B3" w:rsidRDefault="006533B3" w:rsidP="006533B3">
      <w:pPr>
        <w:pStyle w:val="whitespace-normal"/>
        <w:spacing w:before="0" w:beforeAutospacing="0" w:after="0" w:afterAutospacing="0" w:line="360" w:lineRule="auto"/>
        <w:ind w:firstLine="709"/>
        <w:jc w:val="both"/>
        <w:rPr>
          <w:sz w:val="28"/>
          <w:szCs w:val="28"/>
        </w:rPr>
      </w:pPr>
      <w:r w:rsidRPr="006533B3">
        <w:rPr>
          <w:sz w:val="28"/>
          <w:szCs w:val="28"/>
        </w:rPr>
        <w:t xml:space="preserve">Найбільш помітною трансформацією європейської оборонної політики стало суттєве збільшення оборонних бюджетів держав-членів ЄС. За даними Європейського оборонного агентства, сукупні оборонні витрати країн ЄС у 2022 році зросли на 6% у реальному вираженні порівняно з попереднім роком, досягнувши рекордного рівня 214 млрд євро, що становить близько 1,5% сукупного ВВП країн-членів. Особливо показовою стала зміна підходу Німеччини, яка оголосила про створення спеціального фонду (Sondervermögen) у розмірі 100 млрд євро для модернізації збройних сил та зобов'язалася стабільно виділяти на оборонні потреби понад 2% ВВП. Подібні зобов'язання щодо </w:t>
      </w:r>
      <w:r w:rsidRPr="006533B3">
        <w:rPr>
          <w:sz w:val="28"/>
          <w:szCs w:val="28"/>
        </w:rPr>
        <w:lastRenderedPageBreak/>
        <w:t>досягнення або перевищення рівня 2% ВВП на оборонні витрати взяли на себе й інші держави-члени ЄС, включаючи Польщу (3% ВВП), Латвію (2,5% ВВП), Естонію (3% ВВП), Литву (2,5% ВВП) та Румунію (2,5% ВВП). Загалом, протягом 2022-2023 років 21 держава-член ЄС анонсувала суттєве збільшення оборонних бюджетів, що відображає фундаментальну зміну у сприйнятті безпекових пріоритетів [18].</w:t>
      </w:r>
    </w:p>
    <w:p w14:paraId="5DC5B032" w14:textId="77777777" w:rsidR="006533B3" w:rsidRPr="006533B3" w:rsidRDefault="006533B3" w:rsidP="006533B3">
      <w:pPr>
        <w:pStyle w:val="whitespace-normal"/>
        <w:spacing w:before="0" w:beforeAutospacing="0" w:after="0" w:afterAutospacing="0" w:line="360" w:lineRule="auto"/>
        <w:ind w:firstLine="709"/>
        <w:jc w:val="both"/>
        <w:rPr>
          <w:sz w:val="28"/>
          <w:szCs w:val="28"/>
        </w:rPr>
      </w:pPr>
      <w:r w:rsidRPr="006533B3">
        <w:rPr>
          <w:sz w:val="28"/>
          <w:szCs w:val="28"/>
        </w:rPr>
        <w:t>Важливим аспектом трансформації оборонної політики ЄС стала зміна структури оборонних витрат у напрямку збільшення інвестицій у розвиток нових спроможностей та оновлення військової техніки. Якщо до 2022 року значна частина оборонних бюджетів спрямовувалася на персонал та поточні операційні витрати, то після початку повномасштабної війни спостерігається тенденція до збільшення частки витрат на закупівлю озброєнь та військової техніки, дослідження та розробки. За даними Європейського оборонного агентства, сукупні витрати держав-членів ЄС на закупівлю озброєнь зросли на 16% у 2022 році, досягнувши 58 млрд євро, що становить 27% від загальних оборонних витрат. Переорієнтація на розвиток нових спроможностей відображає усвідомлення необхідності термінової модернізації європейських збройних сил та подолання технологічного відставання від інших ключових акторів [19].</w:t>
      </w:r>
    </w:p>
    <w:p w14:paraId="040565C1" w14:textId="77777777" w:rsidR="006533B3" w:rsidRPr="006533B3" w:rsidRDefault="006533B3" w:rsidP="006533B3">
      <w:pPr>
        <w:pStyle w:val="whitespace-normal"/>
        <w:spacing w:before="0" w:beforeAutospacing="0" w:after="0" w:afterAutospacing="0" w:line="360" w:lineRule="auto"/>
        <w:ind w:firstLine="709"/>
        <w:jc w:val="both"/>
        <w:rPr>
          <w:sz w:val="28"/>
          <w:szCs w:val="28"/>
        </w:rPr>
      </w:pPr>
      <w:r w:rsidRPr="006533B3">
        <w:rPr>
          <w:sz w:val="28"/>
          <w:szCs w:val="28"/>
        </w:rPr>
        <w:t xml:space="preserve">Європейська Комісія відіграла активну роль у стимулюванні та координації оборонних інвестицій. У травні 2022 року Комісія представила аналіз інвестиційних прогалин у сфері оборони, визначивши потребу в додаткових інвестиціях у розмірі щонайменше 200 млрд євро для усунення критичних недоліків у європейському оборонному потенціалі. На основі цього аналізу була розроблена програма короткострокових заходів для зміцнення оборонної промисловості ЄС, включаючи створення робочої групи з питань спільних закупівель, мобілізацію інструментів ЄС для підтримки промислових потужностей та прискорення робіт в рамках Європейського оборонного фонду. Комісія також запропонувала Європейську програму інвестицій у безпеку та оборону (EDIP) для стимулювання спільної розробки та закупівлі стратегічних спроможностей, а також Європейську схему податкових пільг для оборонних </w:t>
      </w:r>
      <w:r w:rsidRPr="006533B3">
        <w:rPr>
          <w:sz w:val="28"/>
          <w:szCs w:val="28"/>
        </w:rPr>
        <w:lastRenderedPageBreak/>
        <w:t>інвестицій (EDIS) для заохочення спільних закупівель через податкові стимули [20].</w:t>
      </w:r>
    </w:p>
    <w:p w14:paraId="5E1D4CB1" w14:textId="77777777" w:rsidR="006533B3" w:rsidRPr="006533B3" w:rsidRDefault="006533B3" w:rsidP="006533B3">
      <w:pPr>
        <w:pStyle w:val="whitespace-normal"/>
        <w:spacing w:before="0" w:beforeAutospacing="0" w:after="0" w:afterAutospacing="0" w:line="360" w:lineRule="auto"/>
        <w:ind w:firstLine="709"/>
        <w:jc w:val="both"/>
        <w:rPr>
          <w:sz w:val="28"/>
          <w:szCs w:val="28"/>
        </w:rPr>
      </w:pPr>
      <w:r w:rsidRPr="006533B3">
        <w:rPr>
          <w:sz w:val="28"/>
          <w:szCs w:val="28"/>
        </w:rPr>
        <w:t>Інтенсифікація військово-технічного співробітництва після початку повномасштабного російського вторгнення в Україну проявилася також у безпрецедентній активізації механізму постійного структурованого співробітництва (PESCO). Протягом 2022-2023 років було ініційовано 12 нових проєктів PESCO, орієнтованих на розвиток критичних спроможностей, включаючи протиповітряну оборону, безпілотні системи, кіберзахист та космічні комунікації. Особливою рисою нових проєктів стала їхня практична спрямованість та орієнтація на заповнення конкретних прогалин у європейських оборонних спроможностях, виявлених під час російсько-української війни. Значно посилилася координація між PESCO та Європейським оборонним фондом, що дозволило забезпечити фінансову підтримку пріоритетних проєктів та прискорити їх реалізацію. Зокрема, проєкт European Patrol Corvette, спрямований на розробку нового покоління багатоцільових корветів, отримав фінансування EDF у розмірі 60 млн євро, а проєкт European Defence of Space Assets (EU-DoSA) отримав 43 млн євро для розвитку систем захисту космічних засобів від кібернетичних та фізичних загроз [21].</w:t>
      </w:r>
    </w:p>
    <w:p w14:paraId="25140941" w14:textId="77777777" w:rsidR="006533B3" w:rsidRDefault="006533B3" w:rsidP="006533B3">
      <w:pPr>
        <w:pStyle w:val="whitespace-normal"/>
        <w:spacing w:before="0" w:beforeAutospacing="0" w:after="0" w:afterAutospacing="0" w:line="360" w:lineRule="auto"/>
        <w:ind w:firstLine="709"/>
        <w:jc w:val="both"/>
        <w:rPr>
          <w:sz w:val="28"/>
          <w:szCs w:val="28"/>
          <w:lang w:val="uk-UA"/>
        </w:rPr>
      </w:pPr>
      <w:r w:rsidRPr="006533B3">
        <w:rPr>
          <w:sz w:val="28"/>
          <w:szCs w:val="28"/>
        </w:rPr>
        <w:t xml:space="preserve">Особливої динаміки набуло співробітництво у сфері протиповітряної та протиракетної оборони. Усвідомлення критичної важливості захисту повітряного простору, продемонстроване ходом бойових дій в Україні, стимулювало запуск двох комплементарних ініціатив: Європейського небесного щита (European Sky Shield Initiative, ESSI) під керівництвом Німеччини та Європейської протиповітряної оборони (European Air Defence, EAD) під егідою ЄС. Ініціатива ESSI, до якої приєдналися 19 європейських країн, спрямована на створення багаторівневої системи протиповітряної оборони через спільні закупівлі американських систем Patriot, німецько-американських IRIS-T та ізраїльських систем Arrow-3. Паралельно, Європейська Комісія запропонувала комплексний підхід до розвитку європейських спроможностей у сфері ППО, включаючи підтримку досліджень та розробок через Європейський оборонний </w:t>
      </w:r>
      <w:r w:rsidRPr="006533B3">
        <w:rPr>
          <w:sz w:val="28"/>
          <w:szCs w:val="28"/>
        </w:rPr>
        <w:lastRenderedPageBreak/>
        <w:t>фонд, координацію спільних закупівель та розвиток довгострокового бачення інтегрованої європейської системи протиповітряної оборони [22].</w:t>
      </w:r>
    </w:p>
    <w:p w14:paraId="27C1970F" w14:textId="77777777" w:rsidR="0012394F" w:rsidRPr="0012394F" w:rsidRDefault="0012394F" w:rsidP="006533B3">
      <w:pPr>
        <w:pStyle w:val="whitespace-normal"/>
        <w:spacing w:before="0" w:beforeAutospacing="0" w:after="0" w:afterAutospacing="0" w:line="360" w:lineRule="auto"/>
        <w:ind w:firstLine="709"/>
        <w:jc w:val="both"/>
        <w:rPr>
          <w:sz w:val="28"/>
          <w:szCs w:val="28"/>
          <w:lang w:val="uk-UA"/>
        </w:rPr>
      </w:pPr>
    </w:p>
    <w:p w14:paraId="0CB3CC1F" w14:textId="180CB3FB" w:rsidR="006533B3" w:rsidRPr="00313D00" w:rsidRDefault="006533B3" w:rsidP="00313D00">
      <w:pPr>
        <w:pStyle w:val="whitespace-normal"/>
        <w:spacing w:before="0" w:beforeAutospacing="0" w:after="0" w:afterAutospacing="0" w:line="360" w:lineRule="auto"/>
        <w:ind w:firstLine="709"/>
        <w:jc w:val="center"/>
        <w:rPr>
          <w:sz w:val="28"/>
          <w:szCs w:val="28"/>
          <w:lang w:val="uk-UA"/>
        </w:rPr>
      </w:pPr>
      <w:r w:rsidRPr="00CE22B8">
        <w:rPr>
          <w:sz w:val="28"/>
          <w:szCs w:val="28"/>
          <w:lang w:val="uk-UA"/>
        </w:rPr>
        <w:t xml:space="preserve">Таблиця 2.2. </w:t>
      </w:r>
      <w:r w:rsidR="00313D00">
        <w:rPr>
          <w:sz w:val="28"/>
          <w:szCs w:val="28"/>
          <w:lang w:val="uk-UA"/>
        </w:rPr>
        <w:t xml:space="preserve">– </w:t>
      </w:r>
      <w:r w:rsidRPr="00CE22B8">
        <w:rPr>
          <w:sz w:val="28"/>
          <w:szCs w:val="28"/>
          <w:lang w:val="uk-UA"/>
        </w:rPr>
        <w:t>Динаміка оборонних бюджетів та ключові ініціативи військово-технічного співробітництва після лютого 2022 року</w:t>
      </w:r>
    </w:p>
    <w:tbl>
      <w:tblPr>
        <w:tblStyle w:val="a7"/>
        <w:tblW w:w="0" w:type="auto"/>
        <w:jc w:val="center"/>
        <w:tblLook w:val="04A0" w:firstRow="1" w:lastRow="0" w:firstColumn="1" w:lastColumn="0" w:noHBand="0" w:noVBand="1"/>
      </w:tblPr>
      <w:tblGrid>
        <w:gridCol w:w="2526"/>
        <w:gridCol w:w="2075"/>
        <w:gridCol w:w="2207"/>
        <w:gridCol w:w="2820"/>
      </w:tblGrid>
      <w:tr w:rsidR="0012394F" w:rsidRPr="0012394F" w14:paraId="598742DD" w14:textId="77777777" w:rsidTr="0012394F">
        <w:trPr>
          <w:jc w:val="center"/>
        </w:trPr>
        <w:tc>
          <w:tcPr>
            <w:tcW w:w="0" w:type="auto"/>
            <w:hideMark/>
          </w:tcPr>
          <w:p w14:paraId="68AA7C01" w14:textId="77777777" w:rsidR="006533B3" w:rsidRPr="0012394F" w:rsidRDefault="006533B3" w:rsidP="0012394F">
            <w:pPr>
              <w:jc w:val="left"/>
            </w:pPr>
            <w:proofErr w:type="spellStart"/>
            <w:r w:rsidRPr="0012394F">
              <w:t>Країна</w:t>
            </w:r>
            <w:proofErr w:type="spellEnd"/>
            <w:r w:rsidRPr="0012394F">
              <w:t>/</w:t>
            </w:r>
            <w:proofErr w:type="spellStart"/>
            <w:r w:rsidRPr="0012394F">
              <w:t>Організація</w:t>
            </w:r>
            <w:proofErr w:type="spellEnd"/>
          </w:p>
        </w:tc>
        <w:tc>
          <w:tcPr>
            <w:tcW w:w="0" w:type="auto"/>
            <w:hideMark/>
          </w:tcPr>
          <w:p w14:paraId="6F641BC9" w14:textId="77777777" w:rsidR="006533B3" w:rsidRPr="0012394F" w:rsidRDefault="006533B3" w:rsidP="0012394F">
            <w:pPr>
              <w:jc w:val="left"/>
            </w:pPr>
            <w:proofErr w:type="spellStart"/>
            <w:r w:rsidRPr="0012394F">
              <w:t>Оборонний</w:t>
            </w:r>
            <w:proofErr w:type="spellEnd"/>
            <w:r w:rsidRPr="0012394F">
              <w:t xml:space="preserve"> бюджет (% ВВП) до лютого 2022</w:t>
            </w:r>
          </w:p>
        </w:tc>
        <w:tc>
          <w:tcPr>
            <w:tcW w:w="0" w:type="auto"/>
            <w:hideMark/>
          </w:tcPr>
          <w:p w14:paraId="6E8ADDA9" w14:textId="77777777" w:rsidR="006533B3" w:rsidRPr="0012394F" w:rsidRDefault="006533B3" w:rsidP="0012394F">
            <w:pPr>
              <w:jc w:val="left"/>
            </w:pPr>
            <w:proofErr w:type="spellStart"/>
            <w:r w:rsidRPr="0012394F">
              <w:t>Оборонний</w:t>
            </w:r>
            <w:proofErr w:type="spellEnd"/>
            <w:r w:rsidRPr="0012394F">
              <w:t xml:space="preserve"> бюджет (% ВВП) </w:t>
            </w:r>
            <w:proofErr w:type="spellStart"/>
            <w:r w:rsidRPr="0012394F">
              <w:t>після</w:t>
            </w:r>
            <w:proofErr w:type="spellEnd"/>
            <w:r w:rsidRPr="0012394F">
              <w:t xml:space="preserve"> лютого 2022</w:t>
            </w:r>
          </w:p>
        </w:tc>
        <w:tc>
          <w:tcPr>
            <w:tcW w:w="0" w:type="auto"/>
            <w:hideMark/>
          </w:tcPr>
          <w:p w14:paraId="60668EF5" w14:textId="77777777" w:rsidR="006533B3" w:rsidRPr="0012394F" w:rsidRDefault="006533B3" w:rsidP="0012394F">
            <w:pPr>
              <w:jc w:val="left"/>
            </w:pPr>
            <w:proofErr w:type="spellStart"/>
            <w:r w:rsidRPr="0012394F">
              <w:t>Ключові</w:t>
            </w:r>
            <w:proofErr w:type="spellEnd"/>
            <w:r w:rsidRPr="0012394F">
              <w:t xml:space="preserve"> </w:t>
            </w:r>
            <w:proofErr w:type="spellStart"/>
            <w:r w:rsidRPr="0012394F">
              <w:t>ініціативи</w:t>
            </w:r>
            <w:proofErr w:type="spellEnd"/>
          </w:p>
        </w:tc>
      </w:tr>
      <w:tr w:rsidR="0012394F" w:rsidRPr="00CE22B8" w14:paraId="043749FC" w14:textId="77777777" w:rsidTr="0012394F">
        <w:trPr>
          <w:jc w:val="center"/>
        </w:trPr>
        <w:tc>
          <w:tcPr>
            <w:tcW w:w="0" w:type="auto"/>
            <w:hideMark/>
          </w:tcPr>
          <w:p w14:paraId="351D0DC6" w14:textId="77777777" w:rsidR="006533B3" w:rsidRPr="0012394F" w:rsidRDefault="006533B3" w:rsidP="0012394F">
            <w:pPr>
              <w:jc w:val="left"/>
            </w:pPr>
            <w:proofErr w:type="spellStart"/>
            <w:r w:rsidRPr="0012394F">
              <w:t>Німеччина</w:t>
            </w:r>
            <w:proofErr w:type="spellEnd"/>
          </w:p>
        </w:tc>
        <w:tc>
          <w:tcPr>
            <w:tcW w:w="0" w:type="auto"/>
            <w:hideMark/>
          </w:tcPr>
          <w:p w14:paraId="36A63794" w14:textId="77777777" w:rsidR="006533B3" w:rsidRPr="0012394F" w:rsidRDefault="006533B3" w:rsidP="0012394F">
            <w:pPr>
              <w:jc w:val="left"/>
            </w:pPr>
            <w:r w:rsidRPr="0012394F">
              <w:t>1,4%</w:t>
            </w:r>
          </w:p>
        </w:tc>
        <w:tc>
          <w:tcPr>
            <w:tcW w:w="0" w:type="auto"/>
            <w:hideMark/>
          </w:tcPr>
          <w:p w14:paraId="21AEE9A8" w14:textId="77777777" w:rsidR="006533B3" w:rsidRPr="0012394F" w:rsidRDefault="006533B3" w:rsidP="0012394F">
            <w:pPr>
              <w:jc w:val="left"/>
            </w:pPr>
            <w:r w:rsidRPr="0012394F">
              <w:t xml:space="preserve">2%+ та </w:t>
            </w:r>
            <w:proofErr w:type="spellStart"/>
            <w:r w:rsidRPr="0012394F">
              <w:t>спеціальний</w:t>
            </w:r>
            <w:proofErr w:type="spellEnd"/>
            <w:r w:rsidRPr="0012394F">
              <w:t xml:space="preserve"> фонд у 100 млрд </w:t>
            </w:r>
            <w:proofErr w:type="spellStart"/>
            <w:r w:rsidRPr="0012394F">
              <w:t>євро</w:t>
            </w:r>
            <w:proofErr w:type="spellEnd"/>
          </w:p>
        </w:tc>
        <w:tc>
          <w:tcPr>
            <w:tcW w:w="0" w:type="auto"/>
            <w:hideMark/>
          </w:tcPr>
          <w:p w14:paraId="4E46910C" w14:textId="77777777" w:rsidR="006533B3" w:rsidRPr="00CE22B8" w:rsidRDefault="006533B3" w:rsidP="0012394F">
            <w:pPr>
              <w:jc w:val="left"/>
              <w:rPr>
                <w:lang w:val="en-US"/>
              </w:rPr>
            </w:pPr>
            <w:r w:rsidRPr="00CE22B8">
              <w:rPr>
                <w:lang w:val="en-US"/>
              </w:rPr>
              <w:t xml:space="preserve">European Sky Shield Initiative, PESCO </w:t>
            </w:r>
            <w:proofErr w:type="spellStart"/>
            <w:r w:rsidRPr="0012394F">
              <w:t>проєкти</w:t>
            </w:r>
            <w:proofErr w:type="spellEnd"/>
          </w:p>
        </w:tc>
      </w:tr>
      <w:tr w:rsidR="0012394F" w:rsidRPr="0012394F" w14:paraId="1C3549BB" w14:textId="77777777" w:rsidTr="0012394F">
        <w:trPr>
          <w:jc w:val="center"/>
        </w:trPr>
        <w:tc>
          <w:tcPr>
            <w:tcW w:w="0" w:type="auto"/>
            <w:hideMark/>
          </w:tcPr>
          <w:p w14:paraId="581E0D1B" w14:textId="77777777" w:rsidR="006533B3" w:rsidRPr="0012394F" w:rsidRDefault="006533B3" w:rsidP="0012394F">
            <w:pPr>
              <w:jc w:val="left"/>
            </w:pPr>
            <w:proofErr w:type="spellStart"/>
            <w:r w:rsidRPr="0012394F">
              <w:t>Польща</w:t>
            </w:r>
            <w:proofErr w:type="spellEnd"/>
          </w:p>
        </w:tc>
        <w:tc>
          <w:tcPr>
            <w:tcW w:w="0" w:type="auto"/>
            <w:hideMark/>
          </w:tcPr>
          <w:p w14:paraId="13E9A65E" w14:textId="77777777" w:rsidR="006533B3" w:rsidRPr="0012394F" w:rsidRDefault="006533B3" w:rsidP="0012394F">
            <w:pPr>
              <w:jc w:val="left"/>
            </w:pPr>
            <w:r w:rsidRPr="0012394F">
              <w:t>2,2%</w:t>
            </w:r>
          </w:p>
        </w:tc>
        <w:tc>
          <w:tcPr>
            <w:tcW w:w="0" w:type="auto"/>
            <w:hideMark/>
          </w:tcPr>
          <w:p w14:paraId="05A02AA9" w14:textId="77777777" w:rsidR="006533B3" w:rsidRPr="0012394F" w:rsidRDefault="006533B3" w:rsidP="0012394F">
            <w:pPr>
              <w:jc w:val="left"/>
            </w:pPr>
            <w:r w:rsidRPr="0012394F">
              <w:t>3% (4% у 2023)</w:t>
            </w:r>
          </w:p>
        </w:tc>
        <w:tc>
          <w:tcPr>
            <w:tcW w:w="0" w:type="auto"/>
            <w:hideMark/>
          </w:tcPr>
          <w:p w14:paraId="6C9145F2" w14:textId="77777777" w:rsidR="006533B3" w:rsidRPr="0012394F" w:rsidRDefault="006533B3" w:rsidP="0012394F">
            <w:pPr>
              <w:jc w:val="left"/>
            </w:pPr>
            <w:proofErr w:type="spellStart"/>
            <w:r w:rsidRPr="0012394F">
              <w:t>Модернізація</w:t>
            </w:r>
            <w:proofErr w:type="spellEnd"/>
            <w:r w:rsidRPr="0012394F">
              <w:t xml:space="preserve"> </w:t>
            </w:r>
            <w:proofErr w:type="spellStart"/>
            <w:r w:rsidRPr="0012394F">
              <w:t>армії</w:t>
            </w:r>
            <w:proofErr w:type="spellEnd"/>
            <w:r w:rsidRPr="0012394F">
              <w:t xml:space="preserve">, </w:t>
            </w:r>
            <w:proofErr w:type="spellStart"/>
            <w:r w:rsidRPr="0012394F">
              <w:t>закупівля</w:t>
            </w:r>
            <w:proofErr w:type="spellEnd"/>
            <w:r w:rsidRPr="0012394F">
              <w:t xml:space="preserve"> </w:t>
            </w:r>
            <w:proofErr w:type="spellStart"/>
            <w:r w:rsidRPr="0012394F">
              <w:t>танків</w:t>
            </w:r>
            <w:proofErr w:type="spellEnd"/>
            <w:r w:rsidRPr="0012394F">
              <w:t xml:space="preserve"> K2, HIMARS</w:t>
            </w:r>
          </w:p>
        </w:tc>
      </w:tr>
      <w:tr w:rsidR="0012394F" w:rsidRPr="00CE22B8" w14:paraId="278DC73E" w14:textId="77777777" w:rsidTr="0012394F">
        <w:trPr>
          <w:jc w:val="center"/>
        </w:trPr>
        <w:tc>
          <w:tcPr>
            <w:tcW w:w="0" w:type="auto"/>
            <w:hideMark/>
          </w:tcPr>
          <w:p w14:paraId="435A454E" w14:textId="77777777" w:rsidR="006533B3" w:rsidRPr="0012394F" w:rsidRDefault="006533B3" w:rsidP="0012394F">
            <w:pPr>
              <w:jc w:val="left"/>
            </w:pPr>
            <w:proofErr w:type="spellStart"/>
            <w:r w:rsidRPr="0012394F">
              <w:t>Франція</w:t>
            </w:r>
            <w:proofErr w:type="spellEnd"/>
          </w:p>
        </w:tc>
        <w:tc>
          <w:tcPr>
            <w:tcW w:w="0" w:type="auto"/>
            <w:hideMark/>
          </w:tcPr>
          <w:p w14:paraId="792187EA" w14:textId="77777777" w:rsidR="006533B3" w:rsidRPr="0012394F" w:rsidRDefault="006533B3" w:rsidP="0012394F">
            <w:pPr>
              <w:jc w:val="left"/>
            </w:pPr>
            <w:r w:rsidRPr="0012394F">
              <w:t>1,9%</w:t>
            </w:r>
          </w:p>
        </w:tc>
        <w:tc>
          <w:tcPr>
            <w:tcW w:w="0" w:type="auto"/>
            <w:hideMark/>
          </w:tcPr>
          <w:p w14:paraId="16682042" w14:textId="77777777" w:rsidR="006533B3" w:rsidRPr="0012394F" w:rsidRDefault="006533B3" w:rsidP="0012394F">
            <w:pPr>
              <w:jc w:val="left"/>
            </w:pPr>
            <w:r w:rsidRPr="0012394F">
              <w:t>2%</w:t>
            </w:r>
          </w:p>
        </w:tc>
        <w:tc>
          <w:tcPr>
            <w:tcW w:w="0" w:type="auto"/>
            <w:hideMark/>
          </w:tcPr>
          <w:p w14:paraId="33AA4E62" w14:textId="77777777" w:rsidR="006533B3" w:rsidRPr="00CE22B8" w:rsidRDefault="006533B3" w:rsidP="0012394F">
            <w:pPr>
              <w:jc w:val="left"/>
              <w:rPr>
                <w:lang w:val="en-US"/>
              </w:rPr>
            </w:pPr>
            <w:r w:rsidRPr="00CE22B8">
              <w:rPr>
                <w:lang w:val="en-US"/>
              </w:rPr>
              <w:t xml:space="preserve">PESCO </w:t>
            </w:r>
            <w:proofErr w:type="spellStart"/>
            <w:r w:rsidRPr="0012394F">
              <w:t>проєкти</w:t>
            </w:r>
            <w:proofErr w:type="spellEnd"/>
            <w:r w:rsidRPr="00CE22B8">
              <w:rPr>
                <w:lang w:val="en-US"/>
              </w:rPr>
              <w:t>, European Patrol Corvette</w:t>
            </w:r>
          </w:p>
        </w:tc>
      </w:tr>
      <w:tr w:rsidR="0012394F" w:rsidRPr="00CE22B8" w14:paraId="629261D6" w14:textId="77777777" w:rsidTr="0012394F">
        <w:trPr>
          <w:jc w:val="center"/>
        </w:trPr>
        <w:tc>
          <w:tcPr>
            <w:tcW w:w="0" w:type="auto"/>
            <w:hideMark/>
          </w:tcPr>
          <w:p w14:paraId="05214D80" w14:textId="77777777" w:rsidR="006533B3" w:rsidRPr="0012394F" w:rsidRDefault="006533B3" w:rsidP="0012394F">
            <w:pPr>
              <w:jc w:val="left"/>
            </w:pPr>
            <w:proofErr w:type="spellStart"/>
            <w:r w:rsidRPr="0012394F">
              <w:t>Італія</w:t>
            </w:r>
            <w:proofErr w:type="spellEnd"/>
          </w:p>
        </w:tc>
        <w:tc>
          <w:tcPr>
            <w:tcW w:w="0" w:type="auto"/>
            <w:hideMark/>
          </w:tcPr>
          <w:p w14:paraId="69A6CEE9" w14:textId="77777777" w:rsidR="006533B3" w:rsidRPr="0012394F" w:rsidRDefault="006533B3" w:rsidP="0012394F">
            <w:pPr>
              <w:jc w:val="left"/>
            </w:pPr>
            <w:r w:rsidRPr="0012394F">
              <w:t>1,5%</w:t>
            </w:r>
          </w:p>
        </w:tc>
        <w:tc>
          <w:tcPr>
            <w:tcW w:w="0" w:type="auto"/>
            <w:hideMark/>
          </w:tcPr>
          <w:p w14:paraId="3F5CAF50" w14:textId="77777777" w:rsidR="006533B3" w:rsidRPr="0012394F" w:rsidRDefault="006533B3" w:rsidP="0012394F">
            <w:pPr>
              <w:jc w:val="left"/>
            </w:pPr>
            <w:r w:rsidRPr="0012394F">
              <w:t>2%</w:t>
            </w:r>
          </w:p>
        </w:tc>
        <w:tc>
          <w:tcPr>
            <w:tcW w:w="0" w:type="auto"/>
            <w:hideMark/>
          </w:tcPr>
          <w:p w14:paraId="61BE74C4" w14:textId="77777777" w:rsidR="006533B3" w:rsidRPr="00CE22B8" w:rsidRDefault="006533B3" w:rsidP="0012394F">
            <w:pPr>
              <w:jc w:val="left"/>
              <w:rPr>
                <w:lang w:val="en-US"/>
              </w:rPr>
            </w:pPr>
            <w:r w:rsidRPr="00CE22B8">
              <w:rPr>
                <w:lang w:val="en-US"/>
              </w:rPr>
              <w:t xml:space="preserve">European Patrol Corvette, </w:t>
            </w:r>
            <w:proofErr w:type="spellStart"/>
            <w:r w:rsidRPr="0012394F">
              <w:t>дрони</w:t>
            </w:r>
            <w:proofErr w:type="spellEnd"/>
            <w:r w:rsidRPr="00CE22B8">
              <w:rPr>
                <w:lang w:val="en-US"/>
              </w:rPr>
              <w:t xml:space="preserve"> </w:t>
            </w:r>
            <w:proofErr w:type="spellStart"/>
            <w:r w:rsidRPr="00CE22B8">
              <w:rPr>
                <w:lang w:val="en-US"/>
              </w:rPr>
              <w:t>Eurodrone</w:t>
            </w:r>
            <w:proofErr w:type="spellEnd"/>
          </w:p>
        </w:tc>
      </w:tr>
      <w:tr w:rsidR="0012394F" w:rsidRPr="00CE22B8" w14:paraId="3D3AE633" w14:textId="77777777" w:rsidTr="0012394F">
        <w:trPr>
          <w:jc w:val="center"/>
        </w:trPr>
        <w:tc>
          <w:tcPr>
            <w:tcW w:w="0" w:type="auto"/>
            <w:hideMark/>
          </w:tcPr>
          <w:p w14:paraId="24C03865" w14:textId="77777777" w:rsidR="006533B3" w:rsidRPr="0012394F" w:rsidRDefault="006533B3" w:rsidP="0012394F">
            <w:pPr>
              <w:jc w:val="left"/>
            </w:pPr>
            <w:proofErr w:type="spellStart"/>
            <w:r w:rsidRPr="0012394F">
              <w:t>Європейська</w:t>
            </w:r>
            <w:proofErr w:type="spellEnd"/>
            <w:r w:rsidRPr="0012394F">
              <w:t xml:space="preserve"> </w:t>
            </w:r>
            <w:proofErr w:type="spellStart"/>
            <w:r w:rsidRPr="0012394F">
              <w:t>Комісія</w:t>
            </w:r>
            <w:proofErr w:type="spellEnd"/>
          </w:p>
        </w:tc>
        <w:tc>
          <w:tcPr>
            <w:tcW w:w="0" w:type="auto"/>
            <w:hideMark/>
          </w:tcPr>
          <w:p w14:paraId="7D403282" w14:textId="77777777" w:rsidR="006533B3" w:rsidRPr="0012394F" w:rsidRDefault="006533B3" w:rsidP="0012394F">
            <w:pPr>
              <w:jc w:val="left"/>
            </w:pPr>
            <w:r w:rsidRPr="0012394F">
              <w:t>-</w:t>
            </w:r>
          </w:p>
        </w:tc>
        <w:tc>
          <w:tcPr>
            <w:tcW w:w="0" w:type="auto"/>
            <w:hideMark/>
          </w:tcPr>
          <w:p w14:paraId="22DEB1CB" w14:textId="77777777" w:rsidR="006533B3" w:rsidRPr="0012394F" w:rsidRDefault="006533B3" w:rsidP="0012394F">
            <w:pPr>
              <w:jc w:val="left"/>
            </w:pPr>
            <w:r w:rsidRPr="0012394F">
              <w:t>-</w:t>
            </w:r>
          </w:p>
        </w:tc>
        <w:tc>
          <w:tcPr>
            <w:tcW w:w="0" w:type="auto"/>
            <w:hideMark/>
          </w:tcPr>
          <w:p w14:paraId="5457894B" w14:textId="77777777" w:rsidR="006533B3" w:rsidRPr="00CE22B8" w:rsidRDefault="006533B3" w:rsidP="0012394F">
            <w:pPr>
              <w:jc w:val="left"/>
              <w:rPr>
                <w:lang w:val="en-US"/>
              </w:rPr>
            </w:pPr>
            <w:r w:rsidRPr="00CE22B8">
              <w:rPr>
                <w:lang w:val="en-US"/>
              </w:rPr>
              <w:t xml:space="preserve">European </w:t>
            </w:r>
            <w:proofErr w:type="spellStart"/>
            <w:r w:rsidRPr="00CE22B8">
              <w:rPr>
                <w:lang w:val="en-US"/>
              </w:rPr>
              <w:t>Defence</w:t>
            </w:r>
            <w:proofErr w:type="spellEnd"/>
            <w:r w:rsidRPr="00CE22B8">
              <w:rPr>
                <w:lang w:val="en-US"/>
              </w:rPr>
              <w:t xml:space="preserve"> Industry </w:t>
            </w:r>
            <w:proofErr w:type="spellStart"/>
            <w:r w:rsidRPr="00CE22B8">
              <w:rPr>
                <w:lang w:val="en-US"/>
              </w:rPr>
              <w:t>Programme</w:t>
            </w:r>
            <w:proofErr w:type="spellEnd"/>
            <w:r w:rsidRPr="00CE22B8">
              <w:rPr>
                <w:lang w:val="en-US"/>
              </w:rPr>
              <w:t xml:space="preserve">, ASAP, </w:t>
            </w:r>
            <w:proofErr w:type="spellStart"/>
            <w:r w:rsidRPr="0012394F">
              <w:t>робоча</w:t>
            </w:r>
            <w:proofErr w:type="spellEnd"/>
            <w:r w:rsidRPr="00CE22B8">
              <w:rPr>
                <w:lang w:val="en-US"/>
              </w:rPr>
              <w:t xml:space="preserve"> </w:t>
            </w:r>
            <w:proofErr w:type="spellStart"/>
            <w:r w:rsidRPr="0012394F">
              <w:t>група</w:t>
            </w:r>
            <w:proofErr w:type="spellEnd"/>
            <w:r w:rsidRPr="00CE22B8">
              <w:rPr>
                <w:lang w:val="en-US"/>
              </w:rPr>
              <w:t xml:space="preserve"> </w:t>
            </w:r>
            <w:proofErr w:type="spellStart"/>
            <w:r w:rsidRPr="0012394F">
              <w:t>зі</w:t>
            </w:r>
            <w:proofErr w:type="spellEnd"/>
            <w:r w:rsidRPr="00CE22B8">
              <w:rPr>
                <w:lang w:val="en-US"/>
              </w:rPr>
              <w:t xml:space="preserve"> </w:t>
            </w:r>
            <w:proofErr w:type="spellStart"/>
            <w:r w:rsidRPr="0012394F">
              <w:t>спільних</w:t>
            </w:r>
            <w:proofErr w:type="spellEnd"/>
            <w:r w:rsidRPr="00CE22B8">
              <w:rPr>
                <w:lang w:val="en-US"/>
              </w:rPr>
              <w:t xml:space="preserve"> </w:t>
            </w:r>
            <w:proofErr w:type="spellStart"/>
            <w:r w:rsidRPr="0012394F">
              <w:t>закупівель</w:t>
            </w:r>
            <w:proofErr w:type="spellEnd"/>
          </w:p>
        </w:tc>
      </w:tr>
    </w:tbl>
    <w:p w14:paraId="20725C00" w14:textId="77777777" w:rsidR="0012394F" w:rsidRDefault="0012394F" w:rsidP="006533B3">
      <w:pPr>
        <w:pStyle w:val="whitespace-normal"/>
        <w:spacing w:before="0" w:beforeAutospacing="0" w:after="0" w:afterAutospacing="0" w:line="360" w:lineRule="auto"/>
        <w:ind w:firstLine="709"/>
        <w:jc w:val="both"/>
        <w:rPr>
          <w:sz w:val="28"/>
          <w:szCs w:val="28"/>
          <w:lang w:val="uk-UA"/>
        </w:rPr>
      </w:pPr>
    </w:p>
    <w:p w14:paraId="5DB974D8" w14:textId="77777777" w:rsidR="0012394F" w:rsidRDefault="0012394F" w:rsidP="006533B3">
      <w:pPr>
        <w:pStyle w:val="whitespace-normal"/>
        <w:spacing w:before="0" w:beforeAutospacing="0" w:after="0" w:afterAutospacing="0" w:line="360" w:lineRule="auto"/>
        <w:ind w:firstLine="709"/>
        <w:jc w:val="both"/>
        <w:rPr>
          <w:sz w:val="28"/>
          <w:szCs w:val="28"/>
          <w:lang w:val="uk-UA"/>
        </w:rPr>
      </w:pPr>
    </w:p>
    <w:p w14:paraId="179E1835" w14:textId="5E402432" w:rsidR="006533B3" w:rsidRPr="00CE22B8" w:rsidRDefault="006533B3" w:rsidP="006533B3">
      <w:pPr>
        <w:pStyle w:val="whitespace-normal"/>
        <w:spacing w:before="0" w:beforeAutospacing="0" w:after="0" w:afterAutospacing="0" w:line="360" w:lineRule="auto"/>
        <w:ind w:firstLine="709"/>
        <w:jc w:val="both"/>
        <w:rPr>
          <w:sz w:val="28"/>
          <w:szCs w:val="28"/>
          <w:lang w:val="uk-UA"/>
        </w:rPr>
      </w:pPr>
      <w:r w:rsidRPr="00CE22B8">
        <w:rPr>
          <w:sz w:val="28"/>
          <w:szCs w:val="28"/>
          <w:lang w:val="uk-UA"/>
        </w:rPr>
        <w:t>Інтенсифікація військово-технічного співробітництва проявилася також у створенні нових фінансових механізмів та інструментів для підтримки оборонної промисловості. У липні 2022 року Європейська Комісія запропонувала Акт про посилення європейської оборонної промисловості через спільні закупівлі (</w:t>
      </w:r>
      <w:r w:rsidRPr="006533B3">
        <w:rPr>
          <w:sz w:val="28"/>
          <w:szCs w:val="28"/>
        </w:rPr>
        <w:t>European</w:t>
      </w:r>
      <w:r w:rsidRPr="00CE22B8">
        <w:rPr>
          <w:sz w:val="28"/>
          <w:szCs w:val="28"/>
          <w:lang w:val="uk-UA"/>
        </w:rPr>
        <w:t xml:space="preserve"> </w:t>
      </w:r>
      <w:r w:rsidRPr="006533B3">
        <w:rPr>
          <w:sz w:val="28"/>
          <w:szCs w:val="28"/>
        </w:rPr>
        <w:t>Defence</w:t>
      </w:r>
      <w:r w:rsidRPr="00CE22B8">
        <w:rPr>
          <w:sz w:val="28"/>
          <w:szCs w:val="28"/>
          <w:lang w:val="uk-UA"/>
        </w:rPr>
        <w:t xml:space="preserve"> </w:t>
      </w:r>
      <w:r w:rsidRPr="006533B3">
        <w:rPr>
          <w:sz w:val="28"/>
          <w:szCs w:val="28"/>
        </w:rPr>
        <w:t>Industry</w:t>
      </w:r>
      <w:r w:rsidRPr="00CE22B8">
        <w:rPr>
          <w:sz w:val="28"/>
          <w:szCs w:val="28"/>
          <w:lang w:val="uk-UA"/>
        </w:rPr>
        <w:t xml:space="preserve"> </w:t>
      </w:r>
      <w:proofErr w:type="spellStart"/>
      <w:r w:rsidRPr="006533B3">
        <w:rPr>
          <w:sz w:val="28"/>
          <w:szCs w:val="28"/>
        </w:rPr>
        <w:t>Reinforcement</w:t>
      </w:r>
      <w:proofErr w:type="spellEnd"/>
      <w:r w:rsidRPr="00CE22B8">
        <w:rPr>
          <w:sz w:val="28"/>
          <w:szCs w:val="28"/>
          <w:lang w:val="uk-UA"/>
        </w:rPr>
        <w:t xml:space="preserve"> </w:t>
      </w:r>
      <w:proofErr w:type="spellStart"/>
      <w:r w:rsidRPr="006533B3">
        <w:rPr>
          <w:sz w:val="28"/>
          <w:szCs w:val="28"/>
        </w:rPr>
        <w:t>through</w:t>
      </w:r>
      <w:proofErr w:type="spellEnd"/>
      <w:r w:rsidRPr="00CE22B8">
        <w:rPr>
          <w:sz w:val="28"/>
          <w:szCs w:val="28"/>
          <w:lang w:val="uk-UA"/>
        </w:rPr>
        <w:t xml:space="preserve"> </w:t>
      </w:r>
      <w:proofErr w:type="spellStart"/>
      <w:r w:rsidRPr="006533B3">
        <w:rPr>
          <w:sz w:val="28"/>
          <w:szCs w:val="28"/>
        </w:rPr>
        <w:t>common</w:t>
      </w:r>
      <w:proofErr w:type="spellEnd"/>
      <w:r w:rsidRPr="00CE22B8">
        <w:rPr>
          <w:sz w:val="28"/>
          <w:szCs w:val="28"/>
          <w:lang w:val="uk-UA"/>
        </w:rPr>
        <w:t xml:space="preserve"> </w:t>
      </w:r>
      <w:proofErr w:type="spellStart"/>
      <w:r w:rsidRPr="006533B3">
        <w:rPr>
          <w:sz w:val="28"/>
          <w:szCs w:val="28"/>
        </w:rPr>
        <w:t>Procurement</w:t>
      </w:r>
      <w:proofErr w:type="spellEnd"/>
      <w:r w:rsidRPr="00CE22B8">
        <w:rPr>
          <w:sz w:val="28"/>
          <w:szCs w:val="28"/>
          <w:lang w:val="uk-UA"/>
        </w:rPr>
        <w:t xml:space="preserve"> </w:t>
      </w:r>
      <w:r w:rsidRPr="006533B3">
        <w:rPr>
          <w:sz w:val="28"/>
          <w:szCs w:val="28"/>
        </w:rPr>
        <w:t>Act</w:t>
      </w:r>
      <w:r w:rsidRPr="00CE22B8">
        <w:rPr>
          <w:sz w:val="28"/>
          <w:szCs w:val="28"/>
          <w:lang w:val="uk-UA"/>
        </w:rPr>
        <w:t xml:space="preserve">, </w:t>
      </w:r>
      <w:r w:rsidRPr="006533B3">
        <w:rPr>
          <w:sz w:val="28"/>
          <w:szCs w:val="28"/>
        </w:rPr>
        <w:t>EDIRPA</w:t>
      </w:r>
      <w:r w:rsidRPr="00CE22B8">
        <w:rPr>
          <w:sz w:val="28"/>
          <w:szCs w:val="28"/>
          <w:lang w:val="uk-UA"/>
        </w:rPr>
        <w:t xml:space="preserve">) з бюджетом 500 млн євро на 2022-2024 роки для стимулювання спільних </w:t>
      </w:r>
      <w:proofErr w:type="spellStart"/>
      <w:r w:rsidRPr="00CE22B8">
        <w:rPr>
          <w:sz w:val="28"/>
          <w:szCs w:val="28"/>
          <w:lang w:val="uk-UA"/>
        </w:rPr>
        <w:t>закупівель</w:t>
      </w:r>
      <w:proofErr w:type="spellEnd"/>
      <w:r w:rsidRPr="00CE22B8">
        <w:rPr>
          <w:sz w:val="28"/>
          <w:szCs w:val="28"/>
          <w:lang w:val="uk-UA"/>
        </w:rPr>
        <w:t xml:space="preserve"> озброєнь державами-членами. У травні 2023 року Комісія представила Стратегію європейської оборонної промисловості (</w:t>
      </w:r>
      <w:r w:rsidRPr="006533B3">
        <w:rPr>
          <w:sz w:val="28"/>
          <w:szCs w:val="28"/>
        </w:rPr>
        <w:t>European</w:t>
      </w:r>
      <w:r w:rsidRPr="00CE22B8">
        <w:rPr>
          <w:sz w:val="28"/>
          <w:szCs w:val="28"/>
          <w:lang w:val="uk-UA"/>
        </w:rPr>
        <w:t xml:space="preserve"> </w:t>
      </w:r>
      <w:r w:rsidRPr="006533B3">
        <w:rPr>
          <w:sz w:val="28"/>
          <w:szCs w:val="28"/>
        </w:rPr>
        <w:lastRenderedPageBreak/>
        <w:t>Defence</w:t>
      </w:r>
      <w:r w:rsidRPr="00CE22B8">
        <w:rPr>
          <w:sz w:val="28"/>
          <w:szCs w:val="28"/>
          <w:lang w:val="uk-UA"/>
        </w:rPr>
        <w:t xml:space="preserve"> </w:t>
      </w:r>
      <w:r w:rsidRPr="006533B3">
        <w:rPr>
          <w:sz w:val="28"/>
          <w:szCs w:val="28"/>
        </w:rPr>
        <w:t>Industry</w:t>
      </w:r>
      <w:r w:rsidRPr="00CE22B8">
        <w:rPr>
          <w:sz w:val="28"/>
          <w:szCs w:val="28"/>
          <w:lang w:val="uk-UA"/>
        </w:rPr>
        <w:t xml:space="preserve"> </w:t>
      </w:r>
      <w:r w:rsidRPr="006533B3">
        <w:rPr>
          <w:sz w:val="28"/>
          <w:szCs w:val="28"/>
        </w:rPr>
        <w:t>Strategy</w:t>
      </w:r>
      <w:r w:rsidRPr="00CE22B8">
        <w:rPr>
          <w:sz w:val="28"/>
          <w:szCs w:val="28"/>
          <w:lang w:val="uk-UA"/>
        </w:rPr>
        <w:t xml:space="preserve">), спрямовану на посилення конкурентоспроможності та </w:t>
      </w:r>
      <w:proofErr w:type="spellStart"/>
      <w:r w:rsidRPr="00CE22B8">
        <w:rPr>
          <w:sz w:val="28"/>
          <w:szCs w:val="28"/>
          <w:lang w:val="uk-UA"/>
        </w:rPr>
        <w:t>інноваційності</w:t>
      </w:r>
      <w:proofErr w:type="spellEnd"/>
      <w:r w:rsidRPr="00CE22B8">
        <w:rPr>
          <w:sz w:val="28"/>
          <w:szCs w:val="28"/>
          <w:lang w:val="uk-UA"/>
        </w:rPr>
        <w:t xml:space="preserve"> європейського оборонно-промислового комплексу, а також Закон про підтримку виробництва боєприпасів (</w:t>
      </w:r>
      <w:r w:rsidRPr="006533B3">
        <w:rPr>
          <w:sz w:val="28"/>
          <w:szCs w:val="28"/>
        </w:rPr>
        <w:t>Act</w:t>
      </w:r>
      <w:r w:rsidRPr="00CE22B8">
        <w:rPr>
          <w:sz w:val="28"/>
          <w:szCs w:val="28"/>
          <w:lang w:val="uk-UA"/>
        </w:rPr>
        <w:t xml:space="preserve"> </w:t>
      </w:r>
      <w:proofErr w:type="spellStart"/>
      <w:r w:rsidRPr="006533B3">
        <w:rPr>
          <w:sz w:val="28"/>
          <w:szCs w:val="28"/>
        </w:rPr>
        <w:t>in</w:t>
      </w:r>
      <w:proofErr w:type="spellEnd"/>
      <w:r w:rsidRPr="00CE22B8">
        <w:rPr>
          <w:sz w:val="28"/>
          <w:szCs w:val="28"/>
          <w:lang w:val="uk-UA"/>
        </w:rPr>
        <w:t xml:space="preserve"> </w:t>
      </w:r>
      <w:r w:rsidRPr="006533B3">
        <w:rPr>
          <w:sz w:val="28"/>
          <w:szCs w:val="28"/>
        </w:rPr>
        <w:t>Support</w:t>
      </w:r>
      <w:r w:rsidRPr="00CE22B8">
        <w:rPr>
          <w:sz w:val="28"/>
          <w:szCs w:val="28"/>
          <w:lang w:val="uk-UA"/>
        </w:rPr>
        <w:t xml:space="preserve"> </w:t>
      </w:r>
      <w:proofErr w:type="spellStart"/>
      <w:r w:rsidRPr="006533B3">
        <w:rPr>
          <w:sz w:val="28"/>
          <w:szCs w:val="28"/>
        </w:rPr>
        <w:t>of</w:t>
      </w:r>
      <w:proofErr w:type="spellEnd"/>
      <w:r w:rsidRPr="00CE22B8">
        <w:rPr>
          <w:sz w:val="28"/>
          <w:szCs w:val="28"/>
          <w:lang w:val="uk-UA"/>
        </w:rPr>
        <w:t xml:space="preserve"> </w:t>
      </w:r>
      <w:proofErr w:type="spellStart"/>
      <w:r w:rsidRPr="006533B3">
        <w:rPr>
          <w:sz w:val="28"/>
          <w:szCs w:val="28"/>
        </w:rPr>
        <w:t>Ammunition</w:t>
      </w:r>
      <w:proofErr w:type="spellEnd"/>
      <w:r w:rsidRPr="00CE22B8">
        <w:rPr>
          <w:sz w:val="28"/>
          <w:szCs w:val="28"/>
          <w:lang w:val="uk-UA"/>
        </w:rPr>
        <w:t xml:space="preserve"> </w:t>
      </w:r>
      <w:r w:rsidRPr="006533B3">
        <w:rPr>
          <w:sz w:val="28"/>
          <w:szCs w:val="28"/>
        </w:rPr>
        <w:t>Production</w:t>
      </w:r>
      <w:r w:rsidRPr="00CE22B8">
        <w:rPr>
          <w:sz w:val="28"/>
          <w:szCs w:val="28"/>
          <w:lang w:val="uk-UA"/>
        </w:rPr>
        <w:t xml:space="preserve">, </w:t>
      </w:r>
      <w:r w:rsidRPr="006533B3">
        <w:rPr>
          <w:sz w:val="28"/>
          <w:szCs w:val="28"/>
        </w:rPr>
        <w:t>ASAP</w:t>
      </w:r>
      <w:r w:rsidRPr="00CE22B8">
        <w:rPr>
          <w:sz w:val="28"/>
          <w:szCs w:val="28"/>
          <w:lang w:val="uk-UA"/>
        </w:rPr>
        <w:t>) з бюджетом 500 млн євро для стимулювання виробництва артилерійських боєприпасів в ЄС у відповідь на гострий дефіцит, виявлений під час підтримки України [23].</w:t>
      </w:r>
    </w:p>
    <w:p w14:paraId="27136F63" w14:textId="77777777" w:rsidR="006533B3" w:rsidRPr="006533B3" w:rsidRDefault="006533B3" w:rsidP="006533B3">
      <w:pPr>
        <w:pStyle w:val="whitespace-normal"/>
        <w:spacing w:before="0" w:beforeAutospacing="0" w:after="0" w:afterAutospacing="0" w:line="360" w:lineRule="auto"/>
        <w:ind w:firstLine="709"/>
        <w:jc w:val="both"/>
        <w:rPr>
          <w:sz w:val="28"/>
          <w:szCs w:val="28"/>
        </w:rPr>
      </w:pPr>
      <w:r w:rsidRPr="00CE22B8">
        <w:rPr>
          <w:sz w:val="28"/>
          <w:szCs w:val="28"/>
          <w:lang w:val="uk-UA"/>
        </w:rPr>
        <w:t>Військова підтримка України стала потужним каталізатором інтенсифікації військово-технічного співробітництва в рамках ЄС. Впровадження Європейського інструменту миру (</w:t>
      </w:r>
      <w:r w:rsidRPr="006533B3">
        <w:rPr>
          <w:sz w:val="28"/>
          <w:szCs w:val="28"/>
        </w:rPr>
        <w:t>EPF</w:t>
      </w:r>
      <w:r w:rsidRPr="00CE22B8">
        <w:rPr>
          <w:sz w:val="28"/>
          <w:szCs w:val="28"/>
          <w:lang w:val="uk-UA"/>
        </w:rPr>
        <w:t xml:space="preserve">) дозволило ЄС вперше в історії фінансувати постачання летального озброєння третій країні. </w:t>
      </w:r>
      <w:r w:rsidRPr="006533B3">
        <w:rPr>
          <w:sz w:val="28"/>
          <w:szCs w:val="28"/>
        </w:rPr>
        <w:t xml:space="preserve">Станом на </w:t>
      </w:r>
      <w:proofErr w:type="spellStart"/>
      <w:r w:rsidRPr="006533B3">
        <w:rPr>
          <w:sz w:val="28"/>
          <w:szCs w:val="28"/>
        </w:rPr>
        <w:t>кінець</w:t>
      </w:r>
      <w:proofErr w:type="spellEnd"/>
      <w:r w:rsidRPr="006533B3">
        <w:rPr>
          <w:sz w:val="28"/>
          <w:szCs w:val="28"/>
        </w:rPr>
        <w:t xml:space="preserve"> 2023 року, через EPF було виділено понад 5,6 млрд євро на відшкодування витрат держав-членів на військову підтримку України. Для посилення координації зусиль була створена Військова допоміжна місія ЄС для України (EUMAM Ukraine), покликана забезпечити навчання українських військовослужбовців на території країн-членів ЄС. Станом на жовтень 2023 року, в рамках EUMAM пройшли підготовку понад 30 000 українських військових. Безпрецедентні масштаби військової допомоги Україні виявили структурні недоліки європейської оборонної промисловості, зокрема, обмежені виробничі потужності, фрагментацію ринку та залежність від імпортних компонентів, що стимулювало розробку комплексних заходів з відновлення та розширення промислової бази [24].</w:t>
      </w:r>
    </w:p>
    <w:p w14:paraId="2FA50368" w14:textId="77777777" w:rsidR="006533B3" w:rsidRPr="006533B3" w:rsidRDefault="006533B3" w:rsidP="006533B3">
      <w:pPr>
        <w:pStyle w:val="whitespace-normal"/>
        <w:spacing w:before="0" w:beforeAutospacing="0" w:after="0" w:afterAutospacing="0" w:line="360" w:lineRule="auto"/>
        <w:ind w:firstLine="709"/>
        <w:jc w:val="both"/>
        <w:rPr>
          <w:sz w:val="28"/>
          <w:szCs w:val="28"/>
        </w:rPr>
      </w:pPr>
      <w:r w:rsidRPr="006533B3">
        <w:rPr>
          <w:sz w:val="28"/>
          <w:szCs w:val="28"/>
        </w:rPr>
        <w:t xml:space="preserve">Важливим елементом трансформації європейської оборонної політики стало посилення координації між ЄС та НАТО у сфері розвитку військових спроможностей. Спільна декларація ЄС-НАТО, підписана 10 січня 2023 року, визначила конкретні сфери поглибленої співпраці, включаючи протидію гібридним загрозам, посилення кібербезпеки, забезпечення військової мобільності та розвиток технологічних інновацій. Була запроваджена регулярна Структурована політична взаємодія (Structured Political Dialogue) між Північноатлантичною радою та Політичним і безпековим комітетом ЄС, а також спільні зустрічі Військового комітету ЄС та Військового комітету НАТО. </w:t>
      </w:r>
      <w:r w:rsidRPr="006533B3">
        <w:rPr>
          <w:sz w:val="28"/>
          <w:szCs w:val="28"/>
        </w:rPr>
        <w:lastRenderedPageBreak/>
        <w:t>Посилилася координація у сфері оборонного планування через узгодження процесів Координованого щорічного огляду оборони (CARD) ЄС та Процесу оборонного планування НАТО (NDPP), що дозволило запобігти дублюванню зусиль та забезпечити взаємодоповнюваність розвитку спроможностей [25].</w:t>
      </w:r>
    </w:p>
    <w:p w14:paraId="68806979" w14:textId="77777777" w:rsidR="006533B3" w:rsidRDefault="006533B3" w:rsidP="006533B3">
      <w:pPr>
        <w:pStyle w:val="whitespace-normal"/>
        <w:spacing w:before="0" w:beforeAutospacing="0" w:after="0" w:afterAutospacing="0" w:line="360" w:lineRule="auto"/>
        <w:ind w:firstLine="709"/>
        <w:jc w:val="both"/>
        <w:rPr>
          <w:sz w:val="28"/>
          <w:szCs w:val="28"/>
          <w:lang w:val="uk-UA"/>
        </w:rPr>
      </w:pPr>
      <w:r w:rsidRPr="006533B3">
        <w:rPr>
          <w:sz w:val="28"/>
          <w:szCs w:val="28"/>
        </w:rPr>
        <w:t>Інтенсифікація військово-технічного співробітництва та динаміка оборонних бюджетів держав-членів ЄС після початку повномасштабного російського вторгнення в Україну свідчать про фундаментальну трансформацію підходів до забезпечення європейської безпеки. Збільшення фінансування оборони, активізація спільних проєктів, розвиток нових координаційних механізмів та стимулювання оборонної промисловості становлять комплексну відповідь на радикальну зміну безпекового середовища. Водночас, залишаються значні виклики, пов'язані з фрагментацією європейського оборонного ринку, дублюванням систем озброєнь, обмеженими промисловими потужностями та залежністю від критичних технологій та компонентів. Подальший розвиток військово-технічного співробітництва в рамках ЄС залежатиме від здатності європейських лідерів підтримувати набрану динаміку, забезпечити стабільне фінансування та подолати структурні обмеження, що перешкоджають формуванню ефективної європейської оборонної політики [26].</w:t>
      </w:r>
    </w:p>
    <w:p w14:paraId="37ED15DA" w14:textId="77777777" w:rsidR="00BB46B7" w:rsidRPr="00BB46B7" w:rsidRDefault="00BB46B7" w:rsidP="006533B3">
      <w:pPr>
        <w:pStyle w:val="whitespace-normal"/>
        <w:spacing w:before="0" w:beforeAutospacing="0" w:after="0" w:afterAutospacing="0" w:line="360" w:lineRule="auto"/>
        <w:ind w:firstLine="709"/>
        <w:jc w:val="both"/>
        <w:rPr>
          <w:sz w:val="28"/>
          <w:szCs w:val="28"/>
          <w:lang w:val="uk-UA"/>
        </w:rPr>
      </w:pPr>
    </w:p>
    <w:p w14:paraId="215B25BE" w14:textId="77777777" w:rsidR="006533B3" w:rsidRPr="006533B3" w:rsidRDefault="006533B3" w:rsidP="00BB46B7">
      <w:pPr>
        <w:pStyle w:val="2"/>
      </w:pPr>
      <w:bookmarkStart w:id="9" w:name="_Toc198089417"/>
      <w:r w:rsidRPr="006533B3">
        <w:t xml:space="preserve">2.3 </w:t>
      </w:r>
      <w:proofErr w:type="spellStart"/>
      <w:r w:rsidRPr="006533B3">
        <w:t>Формування</w:t>
      </w:r>
      <w:proofErr w:type="spellEnd"/>
      <w:r w:rsidRPr="006533B3">
        <w:t xml:space="preserve"> </w:t>
      </w:r>
      <w:proofErr w:type="spellStart"/>
      <w:r w:rsidRPr="006533B3">
        <w:t>нових</w:t>
      </w:r>
      <w:proofErr w:type="spellEnd"/>
      <w:r w:rsidRPr="006533B3">
        <w:t xml:space="preserve"> </w:t>
      </w:r>
      <w:proofErr w:type="spellStart"/>
      <w:r w:rsidRPr="006533B3">
        <w:t>інституційних</w:t>
      </w:r>
      <w:proofErr w:type="spellEnd"/>
      <w:r w:rsidRPr="006533B3">
        <w:t xml:space="preserve"> </w:t>
      </w:r>
      <w:proofErr w:type="spellStart"/>
      <w:r w:rsidRPr="006533B3">
        <w:t>механізмів</w:t>
      </w:r>
      <w:proofErr w:type="spellEnd"/>
      <w:r w:rsidRPr="006533B3">
        <w:t xml:space="preserve"> </w:t>
      </w:r>
      <w:proofErr w:type="spellStart"/>
      <w:r w:rsidRPr="006533B3">
        <w:t>колективної</w:t>
      </w:r>
      <w:proofErr w:type="spellEnd"/>
      <w:r w:rsidRPr="006533B3">
        <w:t xml:space="preserve"> </w:t>
      </w:r>
      <w:proofErr w:type="spellStart"/>
      <w:r w:rsidRPr="006533B3">
        <w:t>безпеки</w:t>
      </w:r>
      <w:proofErr w:type="spellEnd"/>
      <w:r w:rsidRPr="006533B3">
        <w:t xml:space="preserve"> ЄС в </w:t>
      </w:r>
      <w:proofErr w:type="spellStart"/>
      <w:r w:rsidRPr="006533B3">
        <w:t>умовах</w:t>
      </w:r>
      <w:proofErr w:type="spellEnd"/>
      <w:r w:rsidRPr="006533B3">
        <w:t xml:space="preserve"> </w:t>
      </w:r>
      <w:proofErr w:type="spellStart"/>
      <w:r w:rsidRPr="006533B3">
        <w:t>російської</w:t>
      </w:r>
      <w:proofErr w:type="spellEnd"/>
      <w:r w:rsidRPr="006533B3">
        <w:t xml:space="preserve"> </w:t>
      </w:r>
      <w:proofErr w:type="spellStart"/>
      <w:r w:rsidRPr="006533B3">
        <w:t>агресії</w:t>
      </w:r>
      <w:bookmarkEnd w:id="9"/>
      <w:proofErr w:type="spellEnd"/>
    </w:p>
    <w:p w14:paraId="40C3BB3F" w14:textId="77777777" w:rsidR="006533B3" w:rsidRPr="006533B3" w:rsidRDefault="006533B3" w:rsidP="006533B3">
      <w:pPr>
        <w:pStyle w:val="whitespace-normal"/>
        <w:spacing w:before="0" w:beforeAutospacing="0" w:after="0" w:afterAutospacing="0" w:line="360" w:lineRule="auto"/>
        <w:ind w:firstLine="709"/>
        <w:jc w:val="both"/>
        <w:rPr>
          <w:sz w:val="28"/>
          <w:szCs w:val="28"/>
        </w:rPr>
      </w:pPr>
      <w:r w:rsidRPr="006533B3">
        <w:rPr>
          <w:sz w:val="28"/>
          <w:szCs w:val="28"/>
        </w:rPr>
        <w:t xml:space="preserve">Повномасштабна російська агресія проти України спричинила не лише переосмислення стратегічних підходів та збільшення оборонних витрат, але й стимулювала формування нових інституційних механізмів колективної безпеки Європейського Союзу. Безпрецедентні безпекові виклики потребували інноваційних відповідей на інституційному рівні, що призвело до створення нових структур, посилення існуючих механізмів та перегляду підходів до інституційної організації європейської безпеки. Високий представник ЄС Жозеп Боррель наголосив у березні 2022 року: «Наша безпекова архітектура повинна </w:t>
      </w:r>
      <w:r w:rsidRPr="006533B3">
        <w:rPr>
          <w:sz w:val="28"/>
          <w:szCs w:val="28"/>
        </w:rPr>
        <w:lastRenderedPageBreak/>
        <w:t>відповідати новій реальності. Ми повинні бути здатні швидше приймати рішення, ефективніше діяти та краще використовувати наші ресурси в умовах екзистенційних загроз». Трансформація інституційних механізмів колективної безпеки ЄС після початку повномасштабної війни характеризувалася прагматизмом, гнучкістю та орієнтацією на конкретні результати, що відображало усвідомлення терміновості та серйозності безпекових викликів [27].</w:t>
      </w:r>
    </w:p>
    <w:p w14:paraId="2FF335D5" w14:textId="77777777" w:rsidR="006533B3" w:rsidRPr="006533B3" w:rsidRDefault="006533B3" w:rsidP="006533B3">
      <w:pPr>
        <w:pStyle w:val="whitespace-normal"/>
        <w:spacing w:before="0" w:beforeAutospacing="0" w:after="0" w:afterAutospacing="0" w:line="360" w:lineRule="auto"/>
        <w:ind w:firstLine="709"/>
        <w:jc w:val="both"/>
        <w:rPr>
          <w:sz w:val="28"/>
          <w:szCs w:val="28"/>
        </w:rPr>
      </w:pPr>
      <w:r w:rsidRPr="006533B3">
        <w:rPr>
          <w:sz w:val="28"/>
          <w:szCs w:val="28"/>
        </w:rPr>
        <w:t>Найбільш інноваційною інституційною відповіддю на російську агресію стало створення Європейського фонду миру (European Peace Facility, EPF) як позабюджетного інструменту фінансування заходів із військової та оборонної підтримки третіх країн. Хоча EPF був формально заснований у березні 2021 року, саме російсько-українська війна визначила його роль та масштаби діяльності. Безпрецедентним кроком стало рішення Ради ЄС від 28 лютого 2022 року про надання Україні військової допомоги через механізм EPF, що вперше дозволило ЄС як організації фінансувати постачання летального озброєння третій країні. Протягом 2022-2023 років загальний бюджет EPF було збільшено з початкових 5,7 млрд євро до 12 млрд євро до 2027 року, з яких понад 5,6 млрд євро було виділено на військову підтримку України. Для управління цією допомогою була створена спеціальна механізм – Координаційний фонд для України (Ukraine Assistance Fund), що забезпечує фінансування, координацію та моніторинг військової допомоги. EPF став ключовим інструментом реалізації європейської підтримки України та символом трансформації ЄС від «нормативної сили» до актора, здатного проектувати військову силу [28].</w:t>
      </w:r>
    </w:p>
    <w:p w14:paraId="2064ECF8" w14:textId="77777777" w:rsidR="006533B3" w:rsidRPr="006533B3" w:rsidRDefault="006533B3" w:rsidP="006533B3">
      <w:pPr>
        <w:pStyle w:val="whitespace-normal"/>
        <w:spacing w:before="0" w:beforeAutospacing="0" w:after="0" w:afterAutospacing="0" w:line="360" w:lineRule="auto"/>
        <w:ind w:firstLine="709"/>
        <w:jc w:val="both"/>
        <w:rPr>
          <w:sz w:val="28"/>
          <w:szCs w:val="28"/>
        </w:rPr>
      </w:pPr>
      <w:r w:rsidRPr="006533B3">
        <w:rPr>
          <w:sz w:val="28"/>
          <w:szCs w:val="28"/>
        </w:rPr>
        <w:t xml:space="preserve">Іншою важливою інституційною інновацією стало створення Військової допоміжної місії ЄС для України (EU Military Assistance Mission for Ukraine, EUMAM Ukraine), заснованої рішенням Ради ЄС від 17 жовтня 2022 року. Місія, з початковим мандатом на два роки та штаб-квартирою у Брюсселі, спрямована на надання індивідуальної, колективної та спеціалізованої підготовки українським збройним силам, включаючи Територіальні сили оборони. EUMAM Ukraine координує навчання, що проводиться країнами-членами ЄС на своїй території, забезпечує уніфікацію підходів та відповідність стандартам. Для </w:t>
      </w:r>
      <w:r w:rsidRPr="006533B3">
        <w:rPr>
          <w:sz w:val="28"/>
          <w:szCs w:val="28"/>
        </w:rPr>
        <w:lastRenderedPageBreak/>
        <w:t>оперативного керівництва місією була активована командна структура Військового планування та проведення операцій (MPCC), що дозволило забезпечити ефективну координацію та планування навчальних заходів. EUMAM Ukraine стала найбільшою тренувальною місією в історії СПБО та важливим елементом комплексної підтримки України, доповнюючи фінансову та матеріальну допомогу через EPF практичною підготовкою особового складу [29].</w:t>
      </w:r>
    </w:p>
    <w:p w14:paraId="5AE3AF99" w14:textId="77777777" w:rsidR="006533B3" w:rsidRPr="006533B3" w:rsidRDefault="006533B3" w:rsidP="006533B3">
      <w:pPr>
        <w:pStyle w:val="whitespace-normal"/>
        <w:spacing w:before="0" w:beforeAutospacing="0" w:after="0" w:afterAutospacing="0" w:line="360" w:lineRule="auto"/>
        <w:ind w:firstLine="709"/>
        <w:jc w:val="both"/>
        <w:rPr>
          <w:sz w:val="28"/>
          <w:szCs w:val="28"/>
        </w:rPr>
      </w:pPr>
      <w:r w:rsidRPr="006533B3">
        <w:rPr>
          <w:sz w:val="28"/>
          <w:szCs w:val="28"/>
        </w:rPr>
        <w:t>Російська агресія стимулювала інституційне посилення механізмів раннього попередження, ситуаційної обізнаності та стратегічної розвідки ЄС. У березні 2022 року було створено Ситуаційний центр ЄС з питань гібридних загроз (EU Hybrid Fusion Cell), що інтегрував можливості різних інституцій ЄС у сфері моніторингу, аналізу та протидії гібридним загрозам, включаючи дезінформацію, кібератаки та іноземне втручання. Була суттєво посилена роль Розвідувального та ситуаційного центру ЄС (EU Intelligence and Situation Centre, EU INTCEN) як ключового аналітичного підрозділу, що забезпечує ситуаційну обізнаність для інституцій ЄС. Відповідно до «Стратегічного компасу», розпочалося формування Центру безпекових інновацій (Defence Innovation Hub) у рамках Європейського оборонного агентства для координації інноваційних проєктів у сфері безпеки та оборони [30].</w:t>
      </w:r>
    </w:p>
    <w:p w14:paraId="6BD461B0" w14:textId="77777777" w:rsidR="006533B3" w:rsidRDefault="006533B3" w:rsidP="006533B3">
      <w:pPr>
        <w:pStyle w:val="whitespace-normal"/>
        <w:spacing w:before="0" w:beforeAutospacing="0" w:after="0" w:afterAutospacing="0" w:line="360" w:lineRule="auto"/>
        <w:ind w:firstLine="709"/>
        <w:jc w:val="both"/>
        <w:rPr>
          <w:sz w:val="28"/>
          <w:szCs w:val="28"/>
          <w:lang w:val="uk-UA"/>
        </w:rPr>
      </w:pPr>
      <w:r w:rsidRPr="006533B3">
        <w:rPr>
          <w:sz w:val="28"/>
          <w:szCs w:val="28"/>
        </w:rPr>
        <w:t xml:space="preserve">Важливим інституційним розвитком стало посилення механізмів координації спільних закупівель озброєнь та військової техніки. У липні 2022 року була створена Робоча група ЄС з питань спільних закупівель у сфері оборони (EU Defence Joint Procurement Task Force) для координації термінових закупівель та сприяння співпраці між державами-членами. У рамках Європейського оборонного агентства (EDA) було активовано інструмент Спільних закупівель (Joint Procurement Arrangement), що дозволяє об'єднувати замовлення держав-членів для досягнення економії від масштабу та гармонізації вимог. У травні 2023 року було запропоновано створення Європейської програми оборонних інвестицій (European Defence Investment Programme, EDIP) як постійного механізму для координації, об'єднання та підтримки спільного </w:t>
      </w:r>
      <w:r w:rsidRPr="006533B3">
        <w:rPr>
          <w:sz w:val="28"/>
          <w:szCs w:val="28"/>
        </w:rPr>
        <w:lastRenderedPageBreak/>
        <w:t>розвитку та придбання стратегічних оборонних спроможностей. Посилення координації закупівель спрямоване на подолання фрагментації європейського оборонного ринку, забезпечення оперативної сумісності систем озброєнь та оптимізацію використання обмежених ресурсів [31].</w:t>
      </w:r>
    </w:p>
    <w:p w14:paraId="0B8BB7E5" w14:textId="77777777" w:rsidR="00BB46B7" w:rsidRPr="00BB46B7" w:rsidRDefault="00BB46B7" w:rsidP="006533B3">
      <w:pPr>
        <w:pStyle w:val="whitespace-normal"/>
        <w:spacing w:before="0" w:beforeAutospacing="0" w:after="0" w:afterAutospacing="0" w:line="360" w:lineRule="auto"/>
        <w:ind w:firstLine="709"/>
        <w:jc w:val="both"/>
        <w:rPr>
          <w:sz w:val="28"/>
          <w:szCs w:val="28"/>
          <w:lang w:val="uk-UA"/>
        </w:rPr>
      </w:pPr>
    </w:p>
    <w:p w14:paraId="4DB4865C" w14:textId="217FA609" w:rsidR="006533B3" w:rsidRPr="00BB46B7" w:rsidRDefault="006533B3" w:rsidP="00BB46B7">
      <w:pPr>
        <w:pStyle w:val="whitespace-normal"/>
        <w:spacing w:before="0" w:beforeAutospacing="0" w:after="0" w:afterAutospacing="0" w:line="360" w:lineRule="auto"/>
        <w:ind w:firstLine="709"/>
        <w:jc w:val="center"/>
        <w:rPr>
          <w:sz w:val="28"/>
          <w:szCs w:val="28"/>
          <w:lang w:val="uk-UA"/>
        </w:rPr>
      </w:pPr>
      <w:r w:rsidRPr="00CE22B8">
        <w:rPr>
          <w:sz w:val="28"/>
          <w:szCs w:val="28"/>
          <w:lang w:val="uk-UA"/>
        </w:rPr>
        <w:t>Таблиця 2.3.</w:t>
      </w:r>
      <w:r w:rsidR="00BB46B7">
        <w:rPr>
          <w:sz w:val="28"/>
          <w:szCs w:val="28"/>
          <w:lang w:val="uk-UA"/>
        </w:rPr>
        <w:t xml:space="preserve"> –</w:t>
      </w:r>
      <w:r w:rsidRPr="00CE22B8">
        <w:rPr>
          <w:sz w:val="28"/>
          <w:szCs w:val="28"/>
          <w:lang w:val="uk-UA"/>
        </w:rPr>
        <w:t xml:space="preserve"> Нові інституційні механізми колективної безпеки ЄС, сформовані після лютого 2022 року</w:t>
      </w:r>
    </w:p>
    <w:tbl>
      <w:tblPr>
        <w:tblStyle w:val="a7"/>
        <w:tblW w:w="0" w:type="auto"/>
        <w:tblLook w:val="04A0" w:firstRow="1" w:lastRow="0" w:firstColumn="1" w:lastColumn="0" w:noHBand="0" w:noVBand="1"/>
      </w:tblPr>
      <w:tblGrid>
        <w:gridCol w:w="2150"/>
        <w:gridCol w:w="2125"/>
        <w:gridCol w:w="2928"/>
        <w:gridCol w:w="2425"/>
      </w:tblGrid>
      <w:tr w:rsidR="00BB46B7" w:rsidRPr="00BB46B7" w14:paraId="70A14324" w14:textId="77777777" w:rsidTr="00BB46B7">
        <w:tc>
          <w:tcPr>
            <w:tcW w:w="0" w:type="auto"/>
            <w:hideMark/>
          </w:tcPr>
          <w:p w14:paraId="21936724" w14:textId="77777777" w:rsidR="006533B3" w:rsidRPr="00BB46B7" w:rsidRDefault="006533B3" w:rsidP="00BB46B7">
            <w:pPr>
              <w:jc w:val="left"/>
            </w:pPr>
            <w:proofErr w:type="spellStart"/>
            <w:r w:rsidRPr="00BB46B7">
              <w:t>Інституційний</w:t>
            </w:r>
            <w:proofErr w:type="spellEnd"/>
            <w:r w:rsidRPr="00BB46B7">
              <w:t xml:space="preserve"> </w:t>
            </w:r>
            <w:proofErr w:type="spellStart"/>
            <w:r w:rsidRPr="00BB46B7">
              <w:t>механізм</w:t>
            </w:r>
            <w:proofErr w:type="spellEnd"/>
          </w:p>
        </w:tc>
        <w:tc>
          <w:tcPr>
            <w:tcW w:w="0" w:type="auto"/>
            <w:hideMark/>
          </w:tcPr>
          <w:p w14:paraId="2EE8A340" w14:textId="77777777" w:rsidR="006533B3" w:rsidRPr="00BB46B7" w:rsidRDefault="006533B3" w:rsidP="00BB46B7">
            <w:pPr>
              <w:jc w:val="left"/>
            </w:pPr>
            <w:r w:rsidRPr="00BB46B7">
              <w:t xml:space="preserve">Дата </w:t>
            </w:r>
            <w:proofErr w:type="spellStart"/>
            <w:r w:rsidRPr="00BB46B7">
              <w:t>створення</w:t>
            </w:r>
            <w:proofErr w:type="spellEnd"/>
          </w:p>
        </w:tc>
        <w:tc>
          <w:tcPr>
            <w:tcW w:w="0" w:type="auto"/>
            <w:hideMark/>
          </w:tcPr>
          <w:p w14:paraId="2DCB998E" w14:textId="77777777" w:rsidR="006533B3" w:rsidRPr="00BB46B7" w:rsidRDefault="006533B3" w:rsidP="00BB46B7">
            <w:pPr>
              <w:jc w:val="left"/>
            </w:pPr>
            <w:proofErr w:type="spellStart"/>
            <w:r w:rsidRPr="00BB46B7">
              <w:t>Основні</w:t>
            </w:r>
            <w:proofErr w:type="spellEnd"/>
            <w:r w:rsidRPr="00BB46B7">
              <w:t xml:space="preserve"> </w:t>
            </w:r>
            <w:proofErr w:type="spellStart"/>
            <w:r w:rsidRPr="00BB46B7">
              <w:t>функції</w:t>
            </w:r>
            <w:proofErr w:type="spellEnd"/>
          </w:p>
        </w:tc>
        <w:tc>
          <w:tcPr>
            <w:tcW w:w="0" w:type="auto"/>
            <w:hideMark/>
          </w:tcPr>
          <w:p w14:paraId="76CEA51D" w14:textId="77777777" w:rsidR="006533B3" w:rsidRPr="00BB46B7" w:rsidRDefault="006533B3" w:rsidP="00BB46B7">
            <w:pPr>
              <w:jc w:val="left"/>
            </w:pPr>
            <w:r w:rsidRPr="00BB46B7">
              <w:t>Бюджет/масштаб</w:t>
            </w:r>
          </w:p>
        </w:tc>
      </w:tr>
      <w:tr w:rsidR="00BB46B7" w:rsidRPr="00BB46B7" w14:paraId="455696AC" w14:textId="77777777" w:rsidTr="00BB46B7">
        <w:tc>
          <w:tcPr>
            <w:tcW w:w="0" w:type="auto"/>
            <w:hideMark/>
          </w:tcPr>
          <w:p w14:paraId="7599B4C9" w14:textId="77777777" w:rsidR="006533B3" w:rsidRPr="00BB46B7" w:rsidRDefault="006533B3" w:rsidP="00BB46B7">
            <w:pPr>
              <w:jc w:val="left"/>
            </w:pPr>
            <w:proofErr w:type="spellStart"/>
            <w:r w:rsidRPr="00BB46B7">
              <w:t>Європейський</w:t>
            </w:r>
            <w:proofErr w:type="spellEnd"/>
            <w:r w:rsidRPr="00BB46B7">
              <w:t xml:space="preserve"> фонд миру (EPF) - </w:t>
            </w:r>
            <w:proofErr w:type="spellStart"/>
            <w:r w:rsidRPr="00BB46B7">
              <w:t>розширення</w:t>
            </w:r>
            <w:proofErr w:type="spellEnd"/>
          </w:p>
        </w:tc>
        <w:tc>
          <w:tcPr>
            <w:tcW w:w="0" w:type="auto"/>
            <w:hideMark/>
          </w:tcPr>
          <w:p w14:paraId="24B974D6" w14:textId="77777777" w:rsidR="006533B3" w:rsidRPr="00BB46B7" w:rsidRDefault="006533B3" w:rsidP="00BB46B7">
            <w:pPr>
              <w:jc w:val="left"/>
            </w:pPr>
            <w:proofErr w:type="spellStart"/>
            <w:r w:rsidRPr="00BB46B7">
              <w:t>Березень</w:t>
            </w:r>
            <w:proofErr w:type="spellEnd"/>
            <w:r w:rsidRPr="00BB46B7">
              <w:t xml:space="preserve"> 2021 (</w:t>
            </w:r>
            <w:proofErr w:type="spellStart"/>
            <w:r w:rsidRPr="00BB46B7">
              <w:t>активізація</w:t>
            </w:r>
            <w:proofErr w:type="spellEnd"/>
            <w:r w:rsidRPr="00BB46B7">
              <w:t xml:space="preserve"> </w:t>
            </w:r>
            <w:proofErr w:type="spellStart"/>
            <w:r w:rsidRPr="00BB46B7">
              <w:t>лютий</w:t>
            </w:r>
            <w:proofErr w:type="spellEnd"/>
            <w:r w:rsidRPr="00BB46B7">
              <w:t xml:space="preserve"> 2022)</w:t>
            </w:r>
          </w:p>
        </w:tc>
        <w:tc>
          <w:tcPr>
            <w:tcW w:w="0" w:type="auto"/>
            <w:hideMark/>
          </w:tcPr>
          <w:p w14:paraId="79C40C48" w14:textId="77777777" w:rsidR="006533B3" w:rsidRPr="00BB46B7" w:rsidRDefault="006533B3" w:rsidP="00BB46B7">
            <w:pPr>
              <w:jc w:val="left"/>
            </w:pPr>
            <w:proofErr w:type="spellStart"/>
            <w:r w:rsidRPr="00BB46B7">
              <w:t>Фінансування</w:t>
            </w:r>
            <w:proofErr w:type="spellEnd"/>
            <w:r w:rsidRPr="00BB46B7">
              <w:t xml:space="preserve"> </w:t>
            </w:r>
            <w:proofErr w:type="spellStart"/>
            <w:r w:rsidRPr="00BB46B7">
              <w:t>військової</w:t>
            </w:r>
            <w:proofErr w:type="spellEnd"/>
            <w:r w:rsidRPr="00BB46B7">
              <w:t xml:space="preserve"> </w:t>
            </w:r>
            <w:proofErr w:type="spellStart"/>
            <w:r w:rsidRPr="00BB46B7">
              <w:t>допомоги</w:t>
            </w:r>
            <w:proofErr w:type="spellEnd"/>
            <w:r w:rsidRPr="00BB46B7">
              <w:t xml:space="preserve"> </w:t>
            </w:r>
            <w:proofErr w:type="spellStart"/>
            <w:r w:rsidRPr="00BB46B7">
              <w:t>України</w:t>
            </w:r>
            <w:proofErr w:type="spellEnd"/>
            <w:r w:rsidRPr="00BB46B7">
              <w:t xml:space="preserve"> та </w:t>
            </w:r>
            <w:proofErr w:type="spellStart"/>
            <w:r w:rsidRPr="00BB46B7">
              <w:t>інших</w:t>
            </w:r>
            <w:proofErr w:type="spellEnd"/>
            <w:r w:rsidRPr="00BB46B7">
              <w:t xml:space="preserve"> </w:t>
            </w:r>
            <w:proofErr w:type="spellStart"/>
            <w:r w:rsidRPr="00BB46B7">
              <w:t>партнерів</w:t>
            </w:r>
            <w:proofErr w:type="spellEnd"/>
          </w:p>
        </w:tc>
        <w:tc>
          <w:tcPr>
            <w:tcW w:w="0" w:type="auto"/>
            <w:hideMark/>
          </w:tcPr>
          <w:p w14:paraId="71181E7D" w14:textId="77777777" w:rsidR="006533B3" w:rsidRPr="00BB46B7" w:rsidRDefault="006533B3" w:rsidP="00BB46B7">
            <w:pPr>
              <w:jc w:val="left"/>
            </w:pPr>
            <w:r w:rsidRPr="00BB46B7">
              <w:t xml:space="preserve">12 млрд </w:t>
            </w:r>
            <w:proofErr w:type="spellStart"/>
            <w:r w:rsidRPr="00BB46B7">
              <w:t>євро</w:t>
            </w:r>
            <w:proofErr w:type="spellEnd"/>
            <w:r w:rsidRPr="00BB46B7">
              <w:t xml:space="preserve"> до 2027 року</w:t>
            </w:r>
          </w:p>
        </w:tc>
      </w:tr>
      <w:tr w:rsidR="00BB46B7" w:rsidRPr="00BB46B7" w14:paraId="1F466E54" w14:textId="77777777" w:rsidTr="00BB46B7">
        <w:tc>
          <w:tcPr>
            <w:tcW w:w="0" w:type="auto"/>
            <w:hideMark/>
          </w:tcPr>
          <w:p w14:paraId="25DF28AA" w14:textId="77777777" w:rsidR="006533B3" w:rsidRPr="00BB46B7" w:rsidRDefault="006533B3" w:rsidP="00BB46B7">
            <w:pPr>
              <w:jc w:val="left"/>
            </w:pPr>
            <w:proofErr w:type="spellStart"/>
            <w:r w:rsidRPr="00BB46B7">
              <w:t>Військова</w:t>
            </w:r>
            <w:proofErr w:type="spellEnd"/>
            <w:r w:rsidRPr="00BB46B7">
              <w:t xml:space="preserve"> </w:t>
            </w:r>
            <w:proofErr w:type="spellStart"/>
            <w:r w:rsidRPr="00BB46B7">
              <w:t>допоміжна</w:t>
            </w:r>
            <w:proofErr w:type="spellEnd"/>
            <w:r w:rsidRPr="00BB46B7">
              <w:t xml:space="preserve"> </w:t>
            </w:r>
            <w:proofErr w:type="spellStart"/>
            <w:r w:rsidRPr="00BB46B7">
              <w:t>місія</w:t>
            </w:r>
            <w:proofErr w:type="spellEnd"/>
            <w:r w:rsidRPr="00BB46B7">
              <w:t xml:space="preserve"> ЄС для </w:t>
            </w:r>
            <w:proofErr w:type="spellStart"/>
            <w:r w:rsidRPr="00BB46B7">
              <w:t>України</w:t>
            </w:r>
            <w:proofErr w:type="spellEnd"/>
            <w:r w:rsidRPr="00BB46B7">
              <w:t xml:space="preserve"> (EUMAM Ukraine)</w:t>
            </w:r>
          </w:p>
        </w:tc>
        <w:tc>
          <w:tcPr>
            <w:tcW w:w="0" w:type="auto"/>
            <w:hideMark/>
          </w:tcPr>
          <w:p w14:paraId="7D27D5F9" w14:textId="77777777" w:rsidR="006533B3" w:rsidRPr="00BB46B7" w:rsidRDefault="006533B3" w:rsidP="00BB46B7">
            <w:pPr>
              <w:jc w:val="left"/>
            </w:pPr>
            <w:r w:rsidRPr="00BB46B7">
              <w:t>Жовтень 2022</w:t>
            </w:r>
          </w:p>
        </w:tc>
        <w:tc>
          <w:tcPr>
            <w:tcW w:w="0" w:type="auto"/>
            <w:hideMark/>
          </w:tcPr>
          <w:p w14:paraId="7C48B7F3" w14:textId="77777777" w:rsidR="006533B3" w:rsidRPr="00BB46B7" w:rsidRDefault="006533B3" w:rsidP="00BB46B7">
            <w:pPr>
              <w:jc w:val="left"/>
            </w:pPr>
            <w:proofErr w:type="spellStart"/>
            <w:r w:rsidRPr="00BB46B7">
              <w:t>Навчання</w:t>
            </w:r>
            <w:proofErr w:type="spellEnd"/>
            <w:r w:rsidRPr="00BB46B7">
              <w:t xml:space="preserve"> </w:t>
            </w:r>
            <w:proofErr w:type="spellStart"/>
            <w:r w:rsidRPr="00BB46B7">
              <w:t>українських</w:t>
            </w:r>
            <w:proofErr w:type="spellEnd"/>
            <w:r w:rsidRPr="00BB46B7">
              <w:t xml:space="preserve"> </w:t>
            </w:r>
            <w:proofErr w:type="spellStart"/>
            <w:r w:rsidRPr="00BB46B7">
              <w:t>військовослужбовців</w:t>
            </w:r>
            <w:proofErr w:type="spellEnd"/>
          </w:p>
        </w:tc>
        <w:tc>
          <w:tcPr>
            <w:tcW w:w="0" w:type="auto"/>
            <w:hideMark/>
          </w:tcPr>
          <w:p w14:paraId="0CC5E748" w14:textId="77777777" w:rsidR="006533B3" w:rsidRPr="00BB46B7" w:rsidRDefault="006533B3" w:rsidP="00BB46B7">
            <w:pPr>
              <w:jc w:val="left"/>
            </w:pPr>
            <w:proofErr w:type="spellStart"/>
            <w:r w:rsidRPr="00BB46B7">
              <w:t>Підготовка</w:t>
            </w:r>
            <w:proofErr w:type="spellEnd"/>
            <w:r w:rsidRPr="00BB46B7">
              <w:t xml:space="preserve"> </w:t>
            </w:r>
            <w:proofErr w:type="spellStart"/>
            <w:r w:rsidRPr="00BB46B7">
              <w:t>понад</w:t>
            </w:r>
            <w:proofErr w:type="spellEnd"/>
            <w:r w:rsidRPr="00BB46B7">
              <w:t xml:space="preserve"> 30 000 </w:t>
            </w:r>
            <w:proofErr w:type="spellStart"/>
            <w:r w:rsidRPr="00BB46B7">
              <w:t>військових</w:t>
            </w:r>
            <w:proofErr w:type="spellEnd"/>
          </w:p>
        </w:tc>
      </w:tr>
      <w:tr w:rsidR="00BB46B7" w:rsidRPr="00BB46B7" w14:paraId="332011C3" w14:textId="77777777" w:rsidTr="00BB46B7">
        <w:tc>
          <w:tcPr>
            <w:tcW w:w="0" w:type="auto"/>
            <w:hideMark/>
          </w:tcPr>
          <w:p w14:paraId="6C0356B1" w14:textId="77777777" w:rsidR="006533B3" w:rsidRPr="00BB46B7" w:rsidRDefault="006533B3" w:rsidP="00BB46B7">
            <w:pPr>
              <w:jc w:val="left"/>
            </w:pPr>
            <w:proofErr w:type="spellStart"/>
            <w:r w:rsidRPr="00BB46B7">
              <w:t>Робоча</w:t>
            </w:r>
            <w:proofErr w:type="spellEnd"/>
            <w:r w:rsidRPr="00BB46B7">
              <w:t xml:space="preserve"> </w:t>
            </w:r>
            <w:proofErr w:type="spellStart"/>
            <w:r w:rsidRPr="00BB46B7">
              <w:t>група</w:t>
            </w:r>
            <w:proofErr w:type="spellEnd"/>
            <w:r w:rsidRPr="00BB46B7">
              <w:t xml:space="preserve"> ЄС з </w:t>
            </w:r>
            <w:proofErr w:type="spellStart"/>
            <w:r w:rsidRPr="00BB46B7">
              <w:t>питань</w:t>
            </w:r>
            <w:proofErr w:type="spellEnd"/>
            <w:r w:rsidRPr="00BB46B7">
              <w:t xml:space="preserve"> </w:t>
            </w:r>
            <w:proofErr w:type="spellStart"/>
            <w:r w:rsidRPr="00BB46B7">
              <w:t>спільних</w:t>
            </w:r>
            <w:proofErr w:type="spellEnd"/>
            <w:r w:rsidRPr="00BB46B7">
              <w:t xml:space="preserve"> </w:t>
            </w:r>
            <w:proofErr w:type="spellStart"/>
            <w:r w:rsidRPr="00BB46B7">
              <w:t>закупівель</w:t>
            </w:r>
            <w:proofErr w:type="spellEnd"/>
            <w:r w:rsidRPr="00BB46B7">
              <w:t xml:space="preserve"> у </w:t>
            </w:r>
            <w:proofErr w:type="spellStart"/>
            <w:r w:rsidRPr="00BB46B7">
              <w:t>сфері</w:t>
            </w:r>
            <w:proofErr w:type="spellEnd"/>
            <w:r w:rsidRPr="00BB46B7">
              <w:t xml:space="preserve"> оборони</w:t>
            </w:r>
          </w:p>
        </w:tc>
        <w:tc>
          <w:tcPr>
            <w:tcW w:w="0" w:type="auto"/>
            <w:hideMark/>
          </w:tcPr>
          <w:p w14:paraId="5721BDC2" w14:textId="77777777" w:rsidR="006533B3" w:rsidRPr="00BB46B7" w:rsidRDefault="006533B3" w:rsidP="00BB46B7">
            <w:pPr>
              <w:jc w:val="left"/>
            </w:pPr>
            <w:r w:rsidRPr="00BB46B7">
              <w:t>Липень 2022</w:t>
            </w:r>
          </w:p>
        </w:tc>
        <w:tc>
          <w:tcPr>
            <w:tcW w:w="0" w:type="auto"/>
            <w:hideMark/>
          </w:tcPr>
          <w:p w14:paraId="4479A640" w14:textId="77777777" w:rsidR="006533B3" w:rsidRPr="00BB46B7" w:rsidRDefault="006533B3" w:rsidP="00BB46B7">
            <w:pPr>
              <w:jc w:val="left"/>
            </w:pPr>
            <w:proofErr w:type="spellStart"/>
            <w:r w:rsidRPr="00BB46B7">
              <w:t>Координація</w:t>
            </w:r>
            <w:proofErr w:type="spellEnd"/>
            <w:r w:rsidRPr="00BB46B7">
              <w:t xml:space="preserve"> </w:t>
            </w:r>
            <w:proofErr w:type="spellStart"/>
            <w:r w:rsidRPr="00BB46B7">
              <w:t>спільних</w:t>
            </w:r>
            <w:proofErr w:type="spellEnd"/>
            <w:r w:rsidRPr="00BB46B7">
              <w:t xml:space="preserve"> </w:t>
            </w:r>
            <w:proofErr w:type="spellStart"/>
            <w:r w:rsidRPr="00BB46B7">
              <w:t>закупівель</w:t>
            </w:r>
            <w:proofErr w:type="spellEnd"/>
            <w:r w:rsidRPr="00BB46B7">
              <w:t xml:space="preserve"> </w:t>
            </w:r>
            <w:proofErr w:type="spellStart"/>
            <w:r w:rsidRPr="00BB46B7">
              <w:t>озброєнь</w:t>
            </w:r>
            <w:proofErr w:type="spellEnd"/>
          </w:p>
        </w:tc>
        <w:tc>
          <w:tcPr>
            <w:tcW w:w="0" w:type="auto"/>
            <w:hideMark/>
          </w:tcPr>
          <w:p w14:paraId="09EBB8E0" w14:textId="77777777" w:rsidR="006533B3" w:rsidRPr="00BB46B7" w:rsidRDefault="006533B3" w:rsidP="00BB46B7">
            <w:pPr>
              <w:jc w:val="left"/>
            </w:pPr>
            <w:proofErr w:type="spellStart"/>
            <w:r w:rsidRPr="00BB46B7">
              <w:t>Координація</w:t>
            </w:r>
            <w:proofErr w:type="spellEnd"/>
            <w:r w:rsidRPr="00BB46B7">
              <w:t xml:space="preserve"> </w:t>
            </w:r>
            <w:proofErr w:type="spellStart"/>
            <w:r w:rsidRPr="00BB46B7">
              <w:t>закупівель</w:t>
            </w:r>
            <w:proofErr w:type="spellEnd"/>
            <w:r w:rsidRPr="00BB46B7">
              <w:t xml:space="preserve"> на суму </w:t>
            </w:r>
            <w:proofErr w:type="spellStart"/>
            <w:r w:rsidRPr="00BB46B7">
              <w:t>понад</w:t>
            </w:r>
            <w:proofErr w:type="spellEnd"/>
            <w:r w:rsidRPr="00BB46B7">
              <w:t xml:space="preserve"> 10 млрд </w:t>
            </w:r>
            <w:proofErr w:type="spellStart"/>
            <w:r w:rsidRPr="00BB46B7">
              <w:t>євро</w:t>
            </w:r>
            <w:proofErr w:type="spellEnd"/>
          </w:p>
        </w:tc>
      </w:tr>
      <w:tr w:rsidR="00BB46B7" w:rsidRPr="00BB46B7" w14:paraId="509A7E90" w14:textId="77777777" w:rsidTr="00BB46B7">
        <w:tc>
          <w:tcPr>
            <w:tcW w:w="0" w:type="auto"/>
            <w:hideMark/>
          </w:tcPr>
          <w:p w14:paraId="70563C01" w14:textId="77777777" w:rsidR="006533B3" w:rsidRPr="00BB46B7" w:rsidRDefault="006533B3" w:rsidP="00BB46B7">
            <w:pPr>
              <w:jc w:val="left"/>
            </w:pPr>
            <w:proofErr w:type="spellStart"/>
            <w:r w:rsidRPr="00BB46B7">
              <w:t>Ситуаційний</w:t>
            </w:r>
            <w:proofErr w:type="spellEnd"/>
            <w:r w:rsidRPr="00BB46B7">
              <w:t xml:space="preserve"> центр ЄС з </w:t>
            </w:r>
            <w:proofErr w:type="spellStart"/>
            <w:r w:rsidRPr="00BB46B7">
              <w:t>питань</w:t>
            </w:r>
            <w:proofErr w:type="spellEnd"/>
            <w:r w:rsidRPr="00BB46B7">
              <w:t xml:space="preserve"> </w:t>
            </w:r>
            <w:proofErr w:type="spellStart"/>
            <w:r w:rsidRPr="00BB46B7">
              <w:t>гібридних</w:t>
            </w:r>
            <w:proofErr w:type="spellEnd"/>
            <w:r w:rsidRPr="00BB46B7">
              <w:t xml:space="preserve"> </w:t>
            </w:r>
            <w:proofErr w:type="spellStart"/>
            <w:r w:rsidRPr="00BB46B7">
              <w:t>загроз</w:t>
            </w:r>
            <w:proofErr w:type="spellEnd"/>
          </w:p>
        </w:tc>
        <w:tc>
          <w:tcPr>
            <w:tcW w:w="0" w:type="auto"/>
            <w:hideMark/>
          </w:tcPr>
          <w:p w14:paraId="3748EE38" w14:textId="77777777" w:rsidR="006533B3" w:rsidRPr="00BB46B7" w:rsidRDefault="006533B3" w:rsidP="00BB46B7">
            <w:pPr>
              <w:jc w:val="left"/>
            </w:pPr>
            <w:r w:rsidRPr="00BB46B7">
              <w:t>Березень 2022</w:t>
            </w:r>
          </w:p>
        </w:tc>
        <w:tc>
          <w:tcPr>
            <w:tcW w:w="0" w:type="auto"/>
            <w:hideMark/>
          </w:tcPr>
          <w:p w14:paraId="03E7BDED" w14:textId="77777777" w:rsidR="006533B3" w:rsidRPr="00BB46B7" w:rsidRDefault="006533B3" w:rsidP="00BB46B7">
            <w:pPr>
              <w:jc w:val="left"/>
            </w:pPr>
            <w:proofErr w:type="spellStart"/>
            <w:r w:rsidRPr="00BB46B7">
              <w:t>Моніторинг</w:t>
            </w:r>
            <w:proofErr w:type="spellEnd"/>
            <w:r w:rsidRPr="00BB46B7">
              <w:t xml:space="preserve">, </w:t>
            </w:r>
            <w:proofErr w:type="spellStart"/>
            <w:r w:rsidRPr="00BB46B7">
              <w:t>аналіз</w:t>
            </w:r>
            <w:proofErr w:type="spellEnd"/>
            <w:r w:rsidRPr="00BB46B7">
              <w:t xml:space="preserve"> та </w:t>
            </w:r>
            <w:proofErr w:type="spellStart"/>
            <w:r w:rsidRPr="00BB46B7">
              <w:t>протидія</w:t>
            </w:r>
            <w:proofErr w:type="spellEnd"/>
            <w:r w:rsidRPr="00BB46B7">
              <w:t xml:space="preserve"> </w:t>
            </w:r>
            <w:proofErr w:type="spellStart"/>
            <w:r w:rsidRPr="00BB46B7">
              <w:t>гібридним</w:t>
            </w:r>
            <w:proofErr w:type="spellEnd"/>
            <w:r w:rsidRPr="00BB46B7">
              <w:t xml:space="preserve"> </w:t>
            </w:r>
            <w:proofErr w:type="spellStart"/>
            <w:r w:rsidRPr="00BB46B7">
              <w:t>загрозам</w:t>
            </w:r>
            <w:proofErr w:type="spellEnd"/>
          </w:p>
        </w:tc>
        <w:tc>
          <w:tcPr>
            <w:tcW w:w="0" w:type="auto"/>
            <w:hideMark/>
          </w:tcPr>
          <w:p w14:paraId="6C6DEFEE" w14:textId="77777777" w:rsidR="006533B3" w:rsidRPr="00BB46B7" w:rsidRDefault="006533B3" w:rsidP="00BB46B7">
            <w:pPr>
              <w:jc w:val="left"/>
            </w:pPr>
            <w:proofErr w:type="spellStart"/>
            <w:r w:rsidRPr="00BB46B7">
              <w:t>Інтеграція</w:t>
            </w:r>
            <w:proofErr w:type="spellEnd"/>
            <w:r w:rsidRPr="00BB46B7">
              <w:t xml:space="preserve"> </w:t>
            </w:r>
            <w:proofErr w:type="spellStart"/>
            <w:r w:rsidRPr="00BB46B7">
              <w:t>можливостей</w:t>
            </w:r>
            <w:proofErr w:type="spellEnd"/>
            <w:r w:rsidRPr="00BB46B7">
              <w:t xml:space="preserve"> </w:t>
            </w:r>
            <w:proofErr w:type="spellStart"/>
            <w:r w:rsidRPr="00BB46B7">
              <w:t>різних</w:t>
            </w:r>
            <w:proofErr w:type="spellEnd"/>
            <w:r w:rsidRPr="00BB46B7">
              <w:t xml:space="preserve"> </w:t>
            </w:r>
            <w:proofErr w:type="spellStart"/>
            <w:r w:rsidRPr="00BB46B7">
              <w:t>агенцій</w:t>
            </w:r>
            <w:proofErr w:type="spellEnd"/>
            <w:r w:rsidRPr="00BB46B7">
              <w:t xml:space="preserve"> ЄС</w:t>
            </w:r>
          </w:p>
        </w:tc>
      </w:tr>
      <w:tr w:rsidR="00BB46B7" w:rsidRPr="00BB46B7" w14:paraId="6FA5FD80" w14:textId="77777777" w:rsidTr="00BB46B7">
        <w:tc>
          <w:tcPr>
            <w:tcW w:w="0" w:type="auto"/>
            <w:hideMark/>
          </w:tcPr>
          <w:p w14:paraId="51F632F4" w14:textId="77777777" w:rsidR="006533B3" w:rsidRPr="00BB46B7" w:rsidRDefault="006533B3" w:rsidP="00BB46B7">
            <w:pPr>
              <w:jc w:val="left"/>
            </w:pPr>
            <w:proofErr w:type="spellStart"/>
            <w:r w:rsidRPr="00BB46B7">
              <w:t>Європейська</w:t>
            </w:r>
            <w:proofErr w:type="spellEnd"/>
            <w:r w:rsidRPr="00BB46B7">
              <w:t xml:space="preserve"> </w:t>
            </w:r>
            <w:proofErr w:type="spellStart"/>
            <w:r w:rsidRPr="00BB46B7">
              <w:t>програма</w:t>
            </w:r>
            <w:proofErr w:type="spellEnd"/>
            <w:r w:rsidRPr="00BB46B7">
              <w:t xml:space="preserve"> </w:t>
            </w:r>
            <w:proofErr w:type="spellStart"/>
            <w:r w:rsidRPr="00BB46B7">
              <w:t>оборонних</w:t>
            </w:r>
            <w:proofErr w:type="spellEnd"/>
            <w:r w:rsidRPr="00BB46B7">
              <w:t xml:space="preserve"> </w:t>
            </w:r>
            <w:proofErr w:type="spellStart"/>
            <w:r w:rsidRPr="00BB46B7">
              <w:t>інвестицій</w:t>
            </w:r>
            <w:proofErr w:type="spellEnd"/>
            <w:r w:rsidRPr="00BB46B7">
              <w:t xml:space="preserve"> (EDIP)</w:t>
            </w:r>
          </w:p>
        </w:tc>
        <w:tc>
          <w:tcPr>
            <w:tcW w:w="0" w:type="auto"/>
            <w:hideMark/>
          </w:tcPr>
          <w:p w14:paraId="6D0D8FE8" w14:textId="77777777" w:rsidR="006533B3" w:rsidRPr="00BB46B7" w:rsidRDefault="006533B3" w:rsidP="00BB46B7">
            <w:pPr>
              <w:jc w:val="left"/>
            </w:pPr>
            <w:proofErr w:type="spellStart"/>
            <w:r w:rsidRPr="00BB46B7">
              <w:t>Запропонована</w:t>
            </w:r>
            <w:proofErr w:type="spellEnd"/>
            <w:r w:rsidRPr="00BB46B7">
              <w:t xml:space="preserve"> у </w:t>
            </w:r>
            <w:proofErr w:type="spellStart"/>
            <w:r w:rsidRPr="00BB46B7">
              <w:t>травні</w:t>
            </w:r>
            <w:proofErr w:type="spellEnd"/>
            <w:r w:rsidRPr="00BB46B7">
              <w:t xml:space="preserve"> 2023</w:t>
            </w:r>
          </w:p>
        </w:tc>
        <w:tc>
          <w:tcPr>
            <w:tcW w:w="0" w:type="auto"/>
            <w:hideMark/>
          </w:tcPr>
          <w:p w14:paraId="3C56AC3F" w14:textId="77777777" w:rsidR="006533B3" w:rsidRPr="00BB46B7" w:rsidRDefault="006533B3" w:rsidP="00BB46B7">
            <w:pPr>
              <w:jc w:val="left"/>
            </w:pPr>
            <w:proofErr w:type="spellStart"/>
            <w:r w:rsidRPr="00BB46B7">
              <w:t>Координація</w:t>
            </w:r>
            <w:proofErr w:type="spellEnd"/>
            <w:r w:rsidRPr="00BB46B7">
              <w:t xml:space="preserve"> та </w:t>
            </w:r>
            <w:proofErr w:type="spellStart"/>
            <w:r w:rsidRPr="00BB46B7">
              <w:t>підтримка</w:t>
            </w:r>
            <w:proofErr w:type="spellEnd"/>
            <w:r w:rsidRPr="00BB46B7">
              <w:t xml:space="preserve"> </w:t>
            </w:r>
            <w:proofErr w:type="spellStart"/>
            <w:r w:rsidRPr="00BB46B7">
              <w:t>спільних</w:t>
            </w:r>
            <w:proofErr w:type="spellEnd"/>
            <w:r w:rsidRPr="00BB46B7">
              <w:t xml:space="preserve"> </w:t>
            </w:r>
            <w:proofErr w:type="spellStart"/>
            <w:r w:rsidRPr="00BB46B7">
              <w:t>оборонних</w:t>
            </w:r>
            <w:proofErr w:type="spellEnd"/>
            <w:r w:rsidRPr="00BB46B7">
              <w:t xml:space="preserve"> </w:t>
            </w:r>
            <w:proofErr w:type="spellStart"/>
            <w:r w:rsidRPr="00BB46B7">
              <w:t>інвестицій</w:t>
            </w:r>
            <w:proofErr w:type="spellEnd"/>
          </w:p>
        </w:tc>
        <w:tc>
          <w:tcPr>
            <w:tcW w:w="0" w:type="auto"/>
            <w:hideMark/>
          </w:tcPr>
          <w:p w14:paraId="641AB531" w14:textId="77777777" w:rsidR="006533B3" w:rsidRPr="00BB46B7" w:rsidRDefault="006533B3" w:rsidP="00BB46B7">
            <w:pPr>
              <w:jc w:val="left"/>
            </w:pPr>
            <w:proofErr w:type="spellStart"/>
            <w:r w:rsidRPr="00BB46B7">
              <w:t>Пропонований</w:t>
            </w:r>
            <w:proofErr w:type="spellEnd"/>
            <w:r w:rsidRPr="00BB46B7">
              <w:t xml:space="preserve"> бюджет 16 млрд </w:t>
            </w:r>
            <w:proofErr w:type="spellStart"/>
            <w:r w:rsidRPr="00BB46B7">
              <w:t>євро</w:t>
            </w:r>
            <w:proofErr w:type="spellEnd"/>
          </w:p>
        </w:tc>
      </w:tr>
    </w:tbl>
    <w:p w14:paraId="3513BB22" w14:textId="77777777" w:rsidR="00BB46B7" w:rsidRDefault="00BB46B7" w:rsidP="006533B3">
      <w:pPr>
        <w:pStyle w:val="whitespace-normal"/>
        <w:spacing w:before="0" w:beforeAutospacing="0" w:after="0" w:afterAutospacing="0" w:line="360" w:lineRule="auto"/>
        <w:ind w:firstLine="709"/>
        <w:jc w:val="both"/>
        <w:rPr>
          <w:sz w:val="28"/>
          <w:szCs w:val="28"/>
          <w:lang w:val="uk-UA"/>
        </w:rPr>
      </w:pPr>
    </w:p>
    <w:p w14:paraId="4DFB1C7F" w14:textId="0A1A7C00" w:rsidR="006533B3" w:rsidRPr="006533B3" w:rsidRDefault="006533B3" w:rsidP="006533B3">
      <w:pPr>
        <w:pStyle w:val="whitespace-normal"/>
        <w:spacing w:before="0" w:beforeAutospacing="0" w:after="0" w:afterAutospacing="0" w:line="360" w:lineRule="auto"/>
        <w:ind w:firstLine="709"/>
        <w:jc w:val="both"/>
        <w:rPr>
          <w:sz w:val="28"/>
          <w:szCs w:val="28"/>
        </w:rPr>
      </w:pPr>
      <w:r w:rsidRPr="006533B3">
        <w:rPr>
          <w:sz w:val="28"/>
          <w:szCs w:val="28"/>
        </w:rPr>
        <w:t xml:space="preserve">Інституційна трансформація колективної безпеки ЄС охопила також сферу кіберзахисту та протидії інформаційним загрозам. У травні 2022 року була прийнята оновлена Політика кіберзахисту ЄС (EU Cyber Defence Policy), що передбачає створення військового домену CERT-EU (Computer Emergency </w:t>
      </w:r>
      <w:r w:rsidRPr="006533B3">
        <w:rPr>
          <w:sz w:val="28"/>
          <w:szCs w:val="28"/>
        </w:rPr>
        <w:lastRenderedPageBreak/>
        <w:t>Response Team) для протидії кіберзагрозам військового характеру, розвиток спільних кібернетичних спроможностей та проведення регулярних навчань. У листопаді 2022 року було запроваджено механізм Rapid Response Force для оперативного реагування на масштабні кібератаки проти критичної інфраструктури держав-членів. Для протидії дезінформації та маніпуляціям з боку Росії була посилена роль Оперативної робочої групи ЄС зі стратегічних комунікацій (EU East StratCom Task Force) та запроваджено Механізм швидкого оповіщення (Rapid Alert System) для координації відповідей на дезінформаційні кампанії [32].</w:t>
      </w:r>
    </w:p>
    <w:p w14:paraId="35811DDD" w14:textId="77777777" w:rsidR="006533B3" w:rsidRPr="006533B3" w:rsidRDefault="006533B3" w:rsidP="006533B3">
      <w:pPr>
        <w:pStyle w:val="whitespace-normal"/>
        <w:spacing w:before="0" w:beforeAutospacing="0" w:after="0" w:afterAutospacing="0" w:line="360" w:lineRule="auto"/>
        <w:ind w:firstLine="709"/>
        <w:jc w:val="both"/>
        <w:rPr>
          <w:sz w:val="28"/>
          <w:szCs w:val="28"/>
        </w:rPr>
      </w:pPr>
      <w:r w:rsidRPr="006533B3">
        <w:rPr>
          <w:sz w:val="28"/>
          <w:szCs w:val="28"/>
        </w:rPr>
        <w:t>Формування нових інституційних механізмів у сфері енергетичної безпеки стало важливим компонентом трансформації колективної безпеки ЄС. У березні 2022 року була запроваджена Платформа ЄС з енергетичних закупівель (EU Energy Platform) для координації спільних закупівель природного газу, водню та зрідженого природного газу. Для посилення стійкості критичної інфраструктури у жовтні 2022 року Європейська Комісія представила План дій ЄС щодо захисту критичної інфраструктури (EU Action Plan on Critical Infrastructure Protection), що передбачає посилення фізичного захисту, координацію реагування на інциденти та розвиток стійкості ключових об'єктів. Інтеграція енергетичної безпеки до загальної архітектури європейської безпеки відображає усвідомлення взаємозв'язку між різними вимірами безпеки та необхідності комплексного підходу до протидії гібридним загрозам [33].</w:t>
      </w:r>
    </w:p>
    <w:p w14:paraId="35636613" w14:textId="77777777" w:rsidR="006533B3" w:rsidRPr="006533B3" w:rsidRDefault="006533B3" w:rsidP="006533B3">
      <w:pPr>
        <w:pStyle w:val="whitespace-normal"/>
        <w:spacing w:before="0" w:beforeAutospacing="0" w:after="0" w:afterAutospacing="0" w:line="360" w:lineRule="auto"/>
        <w:ind w:firstLine="709"/>
        <w:jc w:val="both"/>
        <w:rPr>
          <w:sz w:val="28"/>
          <w:szCs w:val="28"/>
        </w:rPr>
      </w:pPr>
      <w:r w:rsidRPr="006533B3">
        <w:rPr>
          <w:sz w:val="28"/>
          <w:szCs w:val="28"/>
        </w:rPr>
        <w:t xml:space="preserve">Важливим аспектом інституційної трансформації стало посилення співпраці у сфері безпеки та оборони з асоційованими партнерами та країнами-кандидатами на вступ до ЄС. У червні 2022 року ЄС надав статус кандидата Україні та Молдові, а також визнав європейську перспективу Грузії, що відображає стратегічний пріоритет розширення простору безпеки та стабільності на східному фланзі. Для посилення політичної координації з країнами-кандидатами було запроваджено новий формат Європейського політичного співтовариства (European Political Community), перший саміт якого відбувся у жовтні 2022 року в Празі. Цей механізм дозволяє обговорювати питання безпеки </w:t>
      </w:r>
      <w:r w:rsidRPr="006533B3">
        <w:rPr>
          <w:sz w:val="28"/>
          <w:szCs w:val="28"/>
        </w:rPr>
        <w:lastRenderedPageBreak/>
        <w:t>та стратегічних викликів у широкому європейському форматі, що включає як держави-члени ЄС, так і країни-кандидати та інші європейські держави. Паралельно розвивалася поглиблена співпраця з ключовими партнерами, зокрема, з Великою Британією у рамках Угоди про торгівлю та співробітництво, що включає компоненти безпекової та оборонної взаємодії [34].</w:t>
      </w:r>
    </w:p>
    <w:p w14:paraId="414FC8FC" w14:textId="77777777" w:rsidR="006533B3" w:rsidRPr="006533B3" w:rsidRDefault="006533B3" w:rsidP="006533B3">
      <w:pPr>
        <w:pStyle w:val="whitespace-normal"/>
        <w:spacing w:before="0" w:beforeAutospacing="0" w:after="0" w:afterAutospacing="0" w:line="360" w:lineRule="auto"/>
        <w:ind w:firstLine="709"/>
        <w:jc w:val="both"/>
        <w:rPr>
          <w:sz w:val="28"/>
          <w:szCs w:val="28"/>
        </w:rPr>
      </w:pPr>
      <w:r w:rsidRPr="006533B3">
        <w:rPr>
          <w:sz w:val="28"/>
          <w:szCs w:val="28"/>
        </w:rPr>
        <w:t>Інституційні трансформації охопили також процеси прийняття рішень у сфері безпеки та оборони. Хоча принцип одностайності при ухваленні ключових рішень у сфері СПБО зберігається, були розширені можливості для застосування механізмів гнучкої інтеграції. Активізація «конструктивного утримання» дозволяє державам-членам не блокувати рішення, навіть якщо вони не бажають брати у них участь, а механізм «коаліцій бажаючих» у рамках СПБО дозволяє групам держав-членів ініціювати та проводити операції від імені ЄС за згоди всіх членів. Важливою зміною стало рішення Данії скасувати свій «opt-out» у сфері СПБО за результатами референдуму 1 червня 2022 року, що дозволило Копенгагену повноцінно долучитися до військової співпраці в рамках ЄС. Посилення інституційної гнучкості сприяє подоланню процедурних обмежень та забезпечує можливість швидкого реагування на безпекові виклики [35].</w:t>
      </w:r>
    </w:p>
    <w:p w14:paraId="2CDE3C79" w14:textId="77777777" w:rsidR="006533B3" w:rsidRDefault="006533B3" w:rsidP="006533B3">
      <w:pPr>
        <w:pStyle w:val="whitespace-normal"/>
        <w:spacing w:before="0" w:beforeAutospacing="0" w:after="0" w:afterAutospacing="0" w:line="360" w:lineRule="auto"/>
        <w:ind w:firstLine="709"/>
        <w:jc w:val="both"/>
        <w:rPr>
          <w:sz w:val="28"/>
          <w:szCs w:val="28"/>
          <w:lang w:val="uk-UA"/>
        </w:rPr>
      </w:pPr>
      <w:r w:rsidRPr="006533B3">
        <w:rPr>
          <w:sz w:val="28"/>
          <w:szCs w:val="28"/>
        </w:rPr>
        <w:t xml:space="preserve">Формування нових інституційних механізмів колективної безпеки ЄС в умовах російської агресії характеризується прагматичністю, орієнтацією на результат та посиленням операційної складової. Якщо до 2022 року інституційний розвиток СПБО часто мав декларативний характер, то після початку повномасштабної війни акцент змістився на створення ефективних механізмів для вирішення конкретних завдань: військової підтримки України, координації спільних закупівель, підготовки військовослужбовців та протидії гібридним загрозам. Незважаючи на значний прогрес, залишаються суттєві виклики, пов'язані з складністю процесів прийняття рішень, інституційною фрагментацією та розбіжностями між державами-членами щодо пріоритетів та підходів до колективної безпеки. Подальший розвиток інституційних механізмів залежатиме від політичної волі європейських лідерів, здатності зберегти єдність у протидії російській агресії та готовності делегувати більше повноважень </w:t>
      </w:r>
      <w:r w:rsidRPr="006533B3">
        <w:rPr>
          <w:sz w:val="28"/>
          <w:szCs w:val="28"/>
        </w:rPr>
        <w:lastRenderedPageBreak/>
        <w:t>наднаціональним структурам для забезпечення ефективності колективної безпеки [36].</w:t>
      </w:r>
    </w:p>
    <w:p w14:paraId="00D3BE9E" w14:textId="77777777" w:rsidR="00C1552A" w:rsidRDefault="00C1552A" w:rsidP="006533B3">
      <w:pPr>
        <w:pStyle w:val="whitespace-normal"/>
        <w:spacing w:before="0" w:beforeAutospacing="0" w:after="0" w:afterAutospacing="0" w:line="360" w:lineRule="auto"/>
        <w:ind w:firstLine="709"/>
        <w:jc w:val="both"/>
        <w:rPr>
          <w:sz w:val="28"/>
          <w:szCs w:val="28"/>
          <w:lang w:val="uk-UA"/>
        </w:rPr>
      </w:pPr>
    </w:p>
    <w:p w14:paraId="16850F92" w14:textId="77777777" w:rsidR="00C1552A" w:rsidRDefault="00C1552A" w:rsidP="006533B3">
      <w:pPr>
        <w:pStyle w:val="whitespace-normal"/>
        <w:spacing w:before="0" w:beforeAutospacing="0" w:after="0" w:afterAutospacing="0" w:line="360" w:lineRule="auto"/>
        <w:ind w:firstLine="709"/>
        <w:jc w:val="both"/>
        <w:rPr>
          <w:sz w:val="28"/>
          <w:szCs w:val="28"/>
          <w:lang w:val="uk-UA"/>
        </w:rPr>
      </w:pPr>
    </w:p>
    <w:p w14:paraId="37E01A56" w14:textId="77777777" w:rsidR="00C1552A" w:rsidRDefault="00C1552A" w:rsidP="006533B3">
      <w:pPr>
        <w:pStyle w:val="whitespace-normal"/>
        <w:spacing w:before="0" w:beforeAutospacing="0" w:after="0" w:afterAutospacing="0" w:line="360" w:lineRule="auto"/>
        <w:ind w:firstLine="709"/>
        <w:jc w:val="both"/>
        <w:rPr>
          <w:sz w:val="28"/>
          <w:szCs w:val="28"/>
          <w:lang w:val="uk-UA"/>
        </w:rPr>
      </w:pPr>
    </w:p>
    <w:p w14:paraId="7CD1F37B" w14:textId="77777777" w:rsidR="00C1552A" w:rsidRDefault="00C1552A" w:rsidP="006533B3">
      <w:pPr>
        <w:pStyle w:val="whitespace-normal"/>
        <w:spacing w:before="0" w:beforeAutospacing="0" w:after="0" w:afterAutospacing="0" w:line="360" w:lineRule="auto"/>
        <w:ind w:firstLine="709"/>
        <w:jc w:val="both"/>
        <w:rPr>
          <w:sz w:val="28"/>
          <w:szCs w:val="28"/>
          <w:lang w:val="uk-UA"/>
        </w:rPr>
      </w:pPr>
    </w:p>
    <w:p w14:paraId="6BF6509D" w14:textId="77777777" w:rsidR="00C1552A" w:rsidRDefault="00C1552A" w:rsidP="006533B3">
      <w:pPr>
        <w:pStyle w:val="whitespace-normal"/>
        <w:spacing w:before="0" w:beforeAutospacing="0" w:after="0" w:afterAutospacing="0" w:line="360" w:lineRule="auto"/>
        <w:ind w:firstLine="709"/>
        <w:jc w:val="both"/>
        <w:rPr>
          <w:sz w:val="28"/>
          <w:szCs w:val="28"/>
          <w:lang w:val="uk-UA"/>
        </w:rPr>
      </w:pPr>
    </w:p>
    <w:p w14:paraId="2BF76917" w14:textId="77777777" w:rsidR="00C1552A" w:rsidRDefault="00C1552A" w:rsidP="006533B3">
      <w:pPr>
        <w:pStyle w:val="whitespace-normal"/>
        <w:spacing w:before="0" w:beforeAutospacing="0" w:after="0" w:afterAutospacing="0" w:line="360" w:lineRule="auto"/>
        <w:ind w:firstLine="709"/>
        <w:jc w:val="both"/>
        <w:rPr>
          <w:sz w:val="28"/>
          <w:szCs w:val="28"/>
          <w:lang w:val="uk-UA"/>
        </w:rPr>
      </w:pPr>
    </w:p>
    <w:p w14:paraId="5E6D8F96" w14:textId="77777777" w:rsidR="00C1552A" w:rsidRDefault="00C1552A" w:rsidP="006533B3">
      <w:pPr>
        <w:pStyle w:val="whitespace-normal"/>
        <w:spacing w:before="0" w:beforeAutospacing="0" w:after="0" w:afterAutospacing="0" w:line="360" w:lineRule="auto"/>
        <w:ind w:firstLine="709"/>
        <w:jc w:val="both"/>
        <w:rPr>
          <w:sz w:val="28"/>
          <w:szCs w:val="28"/>
          <w:lang w:val="uk-UA"/>
        </w:rPr>
      </w:pPr>
    </w:p>
    <w:p w14:paraId="703E142C" w14:textId="77777777" w:rsidR="00C1552A" w:rsidRDefault="00C1552A" w:rsidP="006533B3">
      <w:pPr>
        <w:pStyle w:val="whitespace-normal"/>
        <w:spacing w:before="0" w:beforeAutospacing="0" w:after="0" w:afterAutospacing="0" w:line="360" w:lineRule="auto"/>
        <w:ind w:firstLine="709"/>
        <w:jc w:val="both"/>
        <w:rPr>
          <w:sz w:val="28"/>
          <w:szCs w:val="28"/>
          <w:lang w:val="uk-UA"/>
        </w:rPr>
      </w:pPr>
    </w:p>
    <w:p w14:paraId="3AF092DC" w14:textId="77777777" w:rsidR="00C1552A" w:rsidRDefault="00C1552A" w:rsidP="006533B3">
      <w:pPr>
        <w:pStyle w:val="whitespace-normal"/>
        <w:spacing w:before="0" w:beforeAutospacing="0" w:after="0" w:afterAutospacing="0" w:line="360" w:lineRule="auto"/>
        <w:ind w:firstLine="709"/>
        <w:jc w:val="both"/>
        <w:rPr>
          <w:sz w:val="28"/>
          <w:szCs w:val="28"/>
          <w:lang w:val="uk-UA"/>
        </w:rPr>
      </w:pPr>
    </w:p>
    <w:p w14:paraId="1919F2A9" w14:textId="77777777" w:rsidR="00C1552A" w:rsidRDefault="00C1552A" w:rsidP="006533B3">
      <w:pPr>
        <w:pStyle w:val="whitespace-normal"/>
        <w:spacing w:before="0" w:beforeAutospacing="0" w:after="0" w:afterAutospacing="0" w:line="360" w:lineRule="auto"/>
        <w:ind w:firstLine="709"/>
        <w:jc w:val="both"/>
        <w:rPr>
          <w:sz w:val="28"/>
          <w:szCs w:val="28"/>
          <w:lang w:val="uk-UA"/>
        </w:rPr>
      </w:pPr>
    </w:p>
    <w:p w14:paraId="099D7929" w14:textId="77777777" w:rsidR="00C1552A" w:rsidRDefault="00C1552A" w:rsidP="006533B3">
      <w:pPr>
        <w:pStyle w:val="whitespace-normal"/>
        <w:spacing w:before="0" w:beforeAutospacing="0" w:after="0" w:afterAutospacing="0" w:line="360" w:lineRule="auto"/>
        <w:ind w:firstLine="709"/>
        <w:jc w:val="both"/>
        <w:rPr>
          <w:sz w:val="28"/>
          <w:szCs w:val="28"/>
          <w:lang w:val="uk-UA"/>
        </w:rPr>
      </w:pPr>
    </w:p>
    <w:p w14:paraId="51A67693" w14:textId="77777777" w:rsidR="00C1552A" w:rsidRDefault="00C1552A" w:rsidP="006533B3">
      <w:pPr>
        <w:pStyle w:val="whitespace-normal"/>
        <w:spacing w:before="0" w:beforeAutospacing="0" w:after="0" w:afterAutospacing="0" w:line="360" w:lineRule="auto"/>
        <w:ind w:firstLine="709"/>
        <w:jc w:val="both"/>
        <w:rPr>
          <w:sz w:val="28"/>
          <w:szCs w:val="28"/>
          <w:lang w:val="uk-UA"/>
        </w:rPr>
      </w:pPr>
    </w:p>
    <w:p w14:paraId="2DAB0E33" w14:textId="77777777" w:rsidR="00C1552A" w:rsidRDefault="00C1552A" w:rsidP="006533B3">
      <w:pPr>
        <w:pStyle w:val="whitespace-normal"/>
        <w:spacing w:before="0" w:beforeAutospacing="0" w:after="0" w:afterAutospacing="0" w:line="360" w:lineRule="auto"/>
        <w:ind w:firstLine="709"/>
        <w:jc w:val="both"/>
        <w:rPr>
          <w:sz w:val="28"/>
          <w:szCs w:val="28"/>
          <w:lang w:val="uk-UA"/>
        </w:rPr>
      </w:pPr>
    </w:p>
    <w:p w14:paraId="0FBA104B" w14:textId="77777777" w:rsidR="00C1552A" w:rsidRDefault="00C1552A" w:rsidP="006533B3">
      <w:pPr>
        <w:pStyle w:val="whitespace-normal"/>
        <w:spacing w:before="0" w:beforeAutospacing="0" w:after="0" w:afterAutospacing="0" w:line="360" w:lineRule="auto"/>
        <w:ind w:firstLine="709"/>
        <w:jc w:val="both"/>
        <w:rPr>
          <w:sz w:val="28"/>
          <w:szCs w:val="28"/>
          <w:lang w:val="uk-UA"/>
        </w:rPr>
      </w:pPr>
    </w:p>
    <w:p w14:paraId="28FF3842" w14:textId="77777777" w:rsidR="00C1552A" w:rsidRDefault="00C1552A" w:rsidP="006533B3">
      <w:pPr>
        <w:pStyle w:val="whitespace-normal"/>
        <w:spacing w:before="0" w:beforeAutospacing="0" w:after="0" w:afterAutospacing="0" w:line="360" w:lineRule="auto"/>
        <w:ind w:firstLine="709"/>
        <w:jc w:val="both"/>
        <w:rPr>
          <w:sz w:val="28"/>
          <w:szCs w:val="28"/>
          <w:lang w:val="uk-UA"/>
        </w:rPr>
      </w:pPr>
    </w:p>
    <w:p w14:paraId="3474A46A" w14:textId="77777777" w:rsidR="00C1552A" w:rsidRDefault="00C1552A" w:rsidP="006533B3">
      <w:pPr>
        <w:pStyle w:val="whitespace-normal"/>
        <w:spacing w:before="0" w:beforeAutospacing="0" w:after="0" w:afterAutospacing="0" w:line="360" w:lineRule="auto"/>
        <w:ind w:firstLine="709"/>
        <w:jc w:val="both"/>
        <w:rPr>
          <w:sz w:val="28"/>
          <w:szCs w:val="28"/>
          <w:lang w:val="uk-UA"/>
        </w:rPr>
      </w:pPr>
    </w:p>
    <w:p w14:paraId="5DBCDECD" w14:textId="77777777" w:rsidR="00C1552A" w:rsidRDefault="00C1552A" w:rsidP="006533B3">
      <w:pPr>
        <w:pStyle w:val="whitespace-normal"/>
        <w:spacing w:before="0" w:beforeAutospacing="0" w:after="0" w:afterAutospacing="0" w:line="360" w:lineRule="auto"/>
        <w:ind w:firstLine="709"/>
        <w:jc w:val="both"/>
        <w:rPr>
          <w:sz w:val="28"/>
          <w:szCs w:val="28"/>
          <w:lang w:val="uk-UA"/>
        </w:rPr>
      </w:pPr>
    </w:p>
    <w:p w14:paraId="1E055883" w14:textId="77777777" w:rsidR="00C1552A" w:rsidRDefault="00C1552A" w:rsidP="006533B3">
      <w:pPr>
        <w:pStyle w:val="whitespace-normal"/>
        <w:spacing w:before="0" w:beforeAutospacing="0" w:after="0" w:afterAutospacing="0" w:line="360" w:lineRule="auto"/>
        <w:ind w:firstLine="709"/>
        <w:jc w:val="both"/>
        <w:rPr>
          <w:sz w:val="28"/>
          <w:szCs w:val="28"/>
          <w:lang w:val="uk-UA"/>
        </w:rPr>
      </w:pPr>
    </w:p>
    <w:p w14:paraId="6F934B77" w14:textId="77777777" w:rsidR="00C1552A" w:rsidRDefault="00C1552A" w:rsidP="006533B3">
      <w:pPr>
        <w:pStyle w:val="whitespace-normal"/>
        <w:spacing w:before="0" w:beforeAutospacing="0" w:after="0" w:afterAutospacing="0" w:line="360" w:lineRule="auto"/>
        <w:ind w:firstLine="709"/>
        <w:jc w:val="both"/>
        <w:rPr>
          <w:sz w:val="28"/>
          <w:szCs w:val="28"/>
          <w:lang w:val="uk-UA"/>
        </w:rPr>
      </w:pPr>
    </w:p>
    <w:p w14:paraId="544796DA" w14:textId="77777777" w:rsidR="00C1552A" w:rsidRDefault="00C1552A" w:rsidP="006533B3">
      <w:pPr>
        <w:pStyle w:val="whitespace-normal"/>
        <w:spacing w:before="0" w:beforeAutospacing="0" w:after="0" w:afterAutospacing="0" w:line="360" w:lineRule="auto"/>
        <w:ind w:firstLine="709"/>
        <w:jc w:val="both"/>
        <w:rPr>
          <w:sz w:val="28"/>
          <w:szCs w:val="28"/>
          <w:lang w:val="uk-UA"/>
        </w:rPr>
      </w:pPr>
    </w:p>
    <w:p w14:paraId="2AC43EDE" w14:textId="77777777" w:rsidR="00C1552A" w:rsidRDefault="00C1552A" w:rsidP="006533B3">
      <w:pPr>
        <w:pStyle w:val="whitespace-normal"/>
        <w:spacing w:before="0" w:beforeAutospacing="0" w:after="0" w:afterAutospacing="0" w:line="360" w:lineRule="auto"/>
        <w:ind w:firstLine="709"/>
        <w:jc w:val="both"/>
        <w:rPr>
          <w:sz w:val="28"/>
          <w:szCs w:val="28"/>
          <w:lang w:val="uk-UA"/>
        </w:rPr>
      </w:pPr>
    </w:p>
    <w:p w14:paraId="070D50AD" w14:textId="77777777" w:rsidR="00C1552A" w:rsidRDefault="00C1552A" w:rsidP="006533B3">
      <w:pPr>
        <w:pStyle w:val="whitespace-normal"/>
        <w:spacing w:before="0" w:beforeAutospacing="0" w:after="0" w:afterAutospacing="0" w:line="360" w:lineRule="auto"/>
        <w:ind w:firstLine="709"/>
        <w:jc w:val="both"/>
        <w:rPr>
          <w:sz w:val="28"/>
          <w:szCs w:val="28"/>
          <w:lang w:val="uk-UA"/>
        </w:rPr>
      </w:pPr>
    </w:p>
    <w:p w14:paraId="4461CF6C" w14:textId="77777777" w:rsidR="00C1552A" w:rsidRDefault="00C1552A" w:rsidP="006533B3">
      <w:pPr>
        <w:pStyle w:val="whitespace-normal"/>
        <w:spacing w:before="0" w:beforeAutospacing="0" w:after="0" w:afterAutospacing="0" w:line="360" w:lineRule="auto"/>
        <w:ind w:firstLine="709"/>
        <w:jc w:val="both"/>
        <w:rPr>
          <w:sz w:val="28"/>
          <w:szCs w:val="28"/>
          <w:lang w:val="uk-UA"/>
        </w:rPr>
      </w:pPr>
    </w:p>
    <w:p w14:paraId="1DF1DB29" w14:textId="77777777" w:rsidR="00C1552A" w:rsidRDefault="00C1552A" w:rsidP="006533B3">
      <w:pPr>
        <w:pStyle w:val="whitespace-normal"/>
        <w:spacing w:before="0" w:beforeAutospacing="0" w:after="0" w:afterAutospacing="0" w:line="360" w:lineRule="auto"/>
        <w:ind w:firstLine="709"/>
        <w:jc w:val="both"/>
        <w:rPr>
          <w:sz w:val="28"/>
          <w:szCs w:val="28"/>
          <w:lang w:val="uk-UA"/>
        </w:rPr>
      </w:pPr>
    </w:p>
    <w:p w14:paraId="34D3AAF5" w14:textId="77777777" w:rsidR="00C1552A" w:rsidRPr="00C1552A" w:rsidRDefault="00C1552A" w:rsidP="006533B3">
      <w:pPr>
        <w:pStyle w:val="whitespace-normal"/>
        <w:spacing w:before="0" w:beforeAutospacing="0" w:after="0" w:afterAutospacing="0" w:line="360" w:lineRule="auto"/>
        <w:ind w:firstLine="709"/>
        <w:jc w:val="both"/>
        <w:rPr>
          <w:sz w:val="28"/>
          <w:szCs w:val="28"/>
          <w:lang w:val="uk-UA"/>
        </w:rPr>
      </w:pPr>
    </w:p>
    <w:p w14:paraId="64C2A806" w14:textId="77777777" w:rsidR="006533B3" w:rsidRPr="006533B3" w:rsidRDefault="006533B3" w:rsidP="00C1552A">
      <w:pPr>
        <w:pStyle w:val="1"/>
      </w:pPr>
      <w:bookmarkStart w:id="10" w:name="_Toc198089418"/>
      <w:r w:rsidRPr="006533B3">
        <w:lastRenderedPageBreak/>
        <w:t>РОЗДІЛ 3. ІМПЛЕМЕНТАЦІЯ ТА СТРАТЕГІЧНІ ПЕРСПЕКТИВИ РОЗВИТКУ ПОЛІТИКИ КОЛЕКТИВНОЇ БЕЗПЕКИ ЄС</w:t>
      </w:r>
      <w:bookmarkEnd w:id="10"/>
    </w:p>
    <w:p w14:paraId="1AB4E59E" w14:textId="77777777" w:rsidR="006533B3" w:rsidRPr="006533B3" w:rsidRDefault="006533B3" w:rsidP="00C1552A">
      <w:pPr>
        <w:pStyle w:val="2"/>
      </w:pPr>
      <w:bookmarkStart w:id="11" w:name="_Toc198089419"/>
      <w:r w:rsidRPr="006533B3">
        <w:t xml:space="preserve">3.1 </w:t>
      </w:r>
      <w:proofErr w:type="spellStart"/>
      <w:r w:rsidRPr="006533B3">
        <w:t>Диверсифікація</w:t>
      </w:r>
      <w:proofErr w:type="spellEnd"/>
      <w:r w:rsidRPr="006533B3">
        <w:t xml:space="preserve"> </w:t>
      </w:r>
      <w:proofErr w:type="spellStart"/>
      <w:r w:rsidRPr="006533B3">
        <w:t>підходів</w:t>
      </w:r>
      <w:proofErr w:type="spellEnd"/>
      <w:r w:rsidRPr="006533B3">
        <w:t xml:space="preserve"> держав-</w:t>
      </w:r>
      <w:proofErr w:type="spellStart"/>
      <w:r w:rsidRPr="006533B3">
        <w:t>членів</w:t>
      </w:r>
      <w:proofErr w:type="spellEnd"/>
      <w:r w:rsidRPr="006533B3">
        <w:t xml:space="preserve"> ЄС до </w:t>
      </w:r>
      <w:proofErr w:type="spellStart"/>
      <w:r w:rsidRPr="006533B3">
        <w:t>посилення</w:t>
      </w:r>
      <w:proofErr w:type="spellEnd"/>
      <w:r w:rsidRPr="006533B3">
        <w:t xml:space="preserve"> </w:t>
      </w:r>
      <w:proofErr w:type="spellStart"/>
      <w:r w:rsidRPr="006533B3">
        <w:t>колективної</w:t>
      </w:r>
      <w:proofErr w:type="spellEnd"/>
      <w:r w:rsidRPr="006533B3">
        <w:t xml:space="preserve"> </w:t>
      </w:r>
      <w:proofErr w:type="spellStart"/>
      <w:r w:rsidRPr="006533B3">
        <w:t>безпеки</w:t>
      </w:r>
      <w:proofErr w:type="spellEnd"/>
      <w:r w:rsidRPr="006533B3">
        <w:t xml:space="preserve"> в </w:t>
      </w:r>
      <w:proofErr w:type="spellStart"/>
      <w:r w:rsidRPr="006533B3">
        <w:t>умовах</w:t>
      </w:r>
      <w:proofErr w:type="spellEnd"/>
      <w:r w:rsidRPr="006533B3">
        <w:t xml:space="preserve"> </w:t>
      </w:r>
      <w:proofErr w:type="spellStart"/>
      <w:r w:rsidRPr="006533B3">
        <w:t>російської</w:t>
      </w:r>
      <w:proofErr w:type="spellEnd"/>
      <w:r w:rsidRPr="006533B3">
        <w:t xml:space="preserve"> </w:t>
      </w:r>
      <w:proofErr w:type="spellStart"/>
      <w:r w:rsidRPr="006533B3">
        <w:t>агресії</w:t>
      </w:r>
      <w:bookmarkEnd w:id="11"/>
      <w:proofErr w:type="spellEnd"/>
    </w:p>
    <w:p w14:paraId="28D9A668" w14:textId="77777777" w:rsidR="006533B3" w:rsidRPr="006533B3" w:rsidRDefault="006533B3" w:rsidP="006533B3">
      <w:pPr>
        <w:pStyle w:val="whitespace-normal"/>
        <w:spacing w:before="0" w:beforeAutospacing="0" w:after="0" w:afterAutospacing="0" w:line="360" w:lineRule="auto"/>
        <w:ind w:firstLine="709"/>
        <w:jc w:val="both"/>
        <w:rPr>
          <w:sz w:val="28"/>
          <w:szCs w:val="28"/>
        </w:rPr>
      </w:pPr>
      <w:r w:rsidRPr="006533B3">
        <w:rPr>
          <w:sz w:val="28"/>
          <w:szCs w:val="28"/>
        </w:rPr>
        <w:t>Повномасштабне російське вторгнення в Україну стимулювало безпрецедентну консолідацію позицій держав-членів Європейського Союзу щодо необхідності посилення колективної безпеки, проте конкретні підходи до імплементації оновлених безпекових парадигм суттєво відрізняються залежно від історичного досвіду, географічного розташування, економічних можливостей та стратегічних пріоритетів кожної країни. Диверсифікація національних безпекових стратегій після лютого 2022 року відображає плюралістичний характер європейської архітектури безпеки, в якій співіснують різні моделі забезпечення національної та колективної безпеки. Глибоке розуміння цих відмінностей має фундаментальне значення для аналізу перспектив розвитку політики колективної безпеки ЄС, оскільки ефективність спільних механізмів значною мірою залежить від здатності узгоджувати та гармонізувати національні підходи в рамках загальноєвропейської стратегії [37].</w:t>
      </w:r>
    </w:p>
    <w:p w14:paraId="40D1AC9D" w14:textId="0608F4A0" w:rsidR="006533B3" w:rsidRPr="006533B3" w:rsidRDefault="006533B3" w:rsidP="006533B3">
      <w:pPr>
        <w:pStyle w:val="whitespace-normal"/>
        <w:spacing w:before="0" w:beforeAutospacing="0" w:after="0" w:afterAutospacing="0" w:line="360" w:lineRule="auto"/>
        <w:ind w:firstLine="709"/>
        <w:jc w:val="both"/>
        <w:rPr>
          <w:sz w:val="28"/>
          <w:szCs w:val="28"/>
        </w:rPr>
      </w:pPr>
      <w:r w:rsidRPr="006533B3">
        <w:rPr>
          <w:sz w:val="28"/>
          <w:szCs w:val="28"/>
        </w:rPr>
        <w:t xml:space="preserve">Аналіз підходів держав-членів ЄС до посилення колективної безпеки дозволяє виокремити декілька стратегічних груп країн з відмінними пріоритетами та акцентами. Країни «східного флангу» (Польща, Естонія, Латвія, Литва, Румунія, Фінляндія) демонструють найбільш проактивний підхід до зміцнення оборонного потенціалу та військового стримування, зумовлений їхнім безпосереднім сусідством з </w:t>
      </w:r>
      <w:proofErr w:type="spellStart"/>
      <w:r w:rsidRPr="006533B3">
        <w:rPr>
          <w:sz w:val="28"/>
          <w:szCs w:val="28"/>
        </w:rPr>
        <w:t>Росією</w:t>
      </w:r>
      <w:proofErr w:type="spellEnd"/>
      <w:r w:rsidRPr="006533B3">
        <w:rPr>
          <w:sz w:val="28"/>
          <w:szCs w:val="28"/>
        </w:rPr>
        <w:t xml:space="preserve"> та </w:t>
      </w:r>
      <w:proofErr w:type="spellStart"/>
      <w:r w:rsidRPr="006533B3">
        <w:rPr>
          <w:sz w:val="28"/>
          <w:szCs w:val="28"/>
        </w:rPr>
        <w:t>історичним</w:t>
      </w:r>
      <w:proofErr w:type="spellEnd"/>
      <w:r w:rsidRPr="006533B3">
        <w:rPr>
          <w:sz w:val="28"/>
          <w:szCs w:val="28"/>
        </w:rPr>
        <w:t xml:space="preserve"> </w:t>
      </w:r>
      <w:proofErr w:type="spellStart"/>
      <w:r w:rsidRPr="006533B3">
        <w:rPr>
          <w:sz w:val="28"/>
          <w:szCs w:val="28"/>
        </w:rPr>
        <w:t>досвідом</w:t>
      </w:r>
      <w:proofErr w:type="spellEnd"/>
      <w:r w:rsidRPr="006533B3">
        <w:rPr>
          <w:sz w:val="28"/>
          <w:szCs w:val="28"/>
        </w:rPr>
        <w:t xml:space="preserve"> </w:t>
      </w:r>
      <w:proofErr w:type="spellStart"/>
      <w:r w:rsidRPr="006533B3">
        <w:rPr>
          <w:sz w:val="28"/>
          <w:szCs w:val="28"/>
        </w:rPr>
        <w:t>протистояння</w:t>
      </w:r>
      <w:proofErr w:type="spellEnd"/>
      <w:r w:rsidRPr="006533B3">
        <w:rPr>
          <w:sz w:val="28"/>
          <w:szCs w:val="28"/>
        </w:rPr>
        <w:t xml:space="preserve"> </w:t>
      </w:r>
      <w:proofErr w:type="spellStart"/>
      <w:r w:rsidRPr="006533B3">
        <w:rPr>
          <w:sz w:val="28"/>
          <w:szCs w:val="28"/>
        </w:rPr>
        <w:t>російській</w:t>
      </w:r>
      <w:proofErr w:type="spellEnd"/>
      <w:r w:rsidRPr="006533B3">
        <w:rPr>
          <w:sz w:val="28"/>
          <w:szCs w:val="28"/>
        </w:rPr>
        <w:t xml:space="preserve"> </w:t>
      </w:r>
      <w:proofErr w:type="spellStart"/>
      <w:r w:rsidRPr="006533B3">
        <w:rPr>
          <w:sz w:val="28"/>
          <w:szCs w:val="28"/>
        </w:rPr>
        <w:t>експансії</w:t>
      </w:r>
      <w:proofErr w:type="spellEnd"/>
      <w:r w:rsidR="00C1552A" w:rsidRPr="00CE22B8">
        <w:rPr>
          <w:sz w:val="28"/>
          <w:szCs w:val="28"/>
        </w:rPr>
        <w:t>,</w:t>
      </w:r>
      <w:r w:rsidRPr="006533B3">
        <w:rPr>
          <w:sz w:val="28"/>
          <w:szCs w:val="28"/>
        </w:rPr>
        <w:t xml:space="preserve"> </w:t>
      </w:r>
      <w:proofErr w:type="spellStart"/>
      <w:r w:rsidRPr="006533B3">
        <w:rPr>
          <w:sz w:val="28"/>
          <w:szCs w:val="28"/>
        </w:rPr>
        <w:t>держави</w:t>
      </w:r>
      <w:proofErr w:type="spellEnd"/>
      <w:r w:rsidRPr="006533B3">
        <w:rPr>
          <w:sz w:val="28"/>
          <w:szCs w:val="28"/>
        </w:rPr>
        <w:t xml:space="preserve"> </w:t>
      </w:r>
      <w:proofErr w:type="spellStart"/>
      <w:r w:rsidRPr="006533B3">
        <w:rPr>
          <w:sz w:val="28"/>
          <w:szCs w:val="28"/>
        </w:rPr>
        <w:t>традиційно</w:t>
      </w:r>
      <w:proofErr w:type="spellEnd"/>
      <w:r w:rsidRPr="006533B3">
        <w:rPr>
          <w:sz w:val="28"/>
          <w:szCs w:val="28"/>
        </w:rPr>
        <w:t xml:space="preserve"> </w:t>
      </w:r>
      <w:proofErr w:type="spellStart"/>
      <w:r w:rsidRPr="006533B3">
        <w:rPr>
          <w:sz w:val="28"/>
          <w:szCs w:val="28"/>
        </w:rPr>
        <w:t>розглядають</w:t>
      </w:r>
      <w:proofErr w:type="spellEnd"/>
      <w:r w:rsidRPr="006533B3">
        <w:rPr>
          <w:sz w:val="28"/>
          <w:szCs w:val="28"/>
        </w:rPr>
        <w:t xml:space="preserve"> НАТО як головного гаранта їхньої безпеки, проте після 2022 року активно підтримують розвиток автономних оборонних спроможностей ЄС як комплементарного механізму. Для країн «східного флангу» характерним є суттєве збільшення оборонних бюджетів (від 2,5% до 4% ВВП), масштабні програми переозброєння, розвиток прикордонної інфраструктури та посилення регіонального військового </w:t>
      </w:r>
      <w:r w:rsidRPr="006533B3">
        <w:rPr>
          <w:sz w:val="28"/>
          <w:szCs w:val="28"/>
        </w:rPr>
        <w:lastRenderedPageBreak/>
        <w:t>співробітництва, зокрема, в рамках ініціатив Тримор'я та Північно-Балтійської вісімки (NB8) [38].</w:t>
      </w:r>
    </w:p>
    <w:p w14:paraId="46D7CBCA" w14:textId="77777777" w:rsidR="006533B3" w:rsidRPr="006533B3" w:rsidRDefault="006533B3" w:rsidP="006533B3">
      <w:pPr>
        <w:pStyle w:val="whitespace-normal"/>
        <w:spacing w:before="0" w:beforeAutospacing="0" w:after="0" w:afterAutospacing="0" w:line="360" w:lineRule="auto"/>
        <w:ind w:firstLine="709"/>
        <w:jc w:val="both"/>
        <w:rPr>
          <w:sz w:val="28"/>
          <w:szCs w:val="28"/>
        </w:rPr>
      </w:pPr>
      <w:r w:rsidRPr="006533B3">
        <w:rPr>
          <w:sz w:val="28"/>
          <w:szCs w:val="28"/>
        </w:rPr>
        <w:t>Польща стала лідером серед країн «східного флангу» за масштабами збільшення оборонних витрат та програм переозброєння. Оборонний бюджет країни зріс до рекордних 4% ВВП у 2023 році, а програма модернізації збройних сил передбачає закупівлю 366 американських танків Abrams, 32 винищувачів F-35, 96 вертольотів Apache, 288 південнокорейських реактивних систем залпового вогню K239 Chunmoo та інших сучасних систем озброєнь. Варшава активно розвиває польський оборонно-промисловий комплекс, зокрема, через створення спільних підприємств з американськими та південнокорейськими партнерами. Паралельно з посиленням національних спроможностей, Польща виступає адвокатом зміцнення східного флангу НАТО та розвитку європейських механізмів військової мобільності. На регіональному рівні Варшава поглиблює військове співробітництво з Україною, Румунією та країнами Балтії, формуючи «балтійсько-чорноморську дугу безпеки» як перший ешелон стримування російської агресії [39].</w:t>
      </w:r>
    </w:p>
    <w:p w14:paraId="5FB1EC88" w14:textId="77777777" w:rsidR="006533B3" w:rsidRPr="006533B3" w:rsidRDefault="006533B3" w:rsidP="006533B3">
      <w:pPr>
        <w:pStyle w:val="whitespace-normal"/>
        <w:spacing w:before="0" w:beforeAutospacing="0" w:after="0" w:afterAutospacing="0" w:line="360" w:lineRule="auto"/>
        <w:ind w:firstLine="709"/>
        <w:jc w:val="both"/>
        <w:rPr>
          <w:sz w:val="28"/>
          <w:szCs w:val="28"/>
        </w:rPr>
      </w:pPr>
      <w:r w:rsidRPr="006533B3">
        <w:rPr>
          <w:sz w:val="28"/>
          <w:szCs w:val="28"/>
        </w:rPr>
        <w:t xml:space="preserve">Держави Балтії (Естонія, Латвія, Литва) демонструють комплексний підхід до посилення безпеки, що поєднує суттєве збільшення оборонних витрат (до 3% ВВП), розвиток територіальної оборони, посилення кіберзахисту та протидію гібридним загрозам. Особливістю балтійського підходу є акцент на концепції «тотальної оборони», що передбачає залучення всього суспільства до забезпечення стійкості держави в умовах зовнішньої агресії. Балтійські країни активно розвивають регіональне співробітництво, зокрема, через ініціативу BALTDEFCOL (Балтійський оборонний коледж) та проєкт BALTRON (Балтійський військово-морський ескадрон). Вони також є послідовними прихильниками посилення трансатлантичного зв'язку, виступаючи за розширення американської військової присутності в регіоні та поглиблення співпраці ЄС-НАТО. Водночас, держави Балтії активно підтримують розвиток автономних спроможностей ЄС у сферах, де НАТО має обмежені можливості: </w:t>
      </w:r>
      <w:r w:rsidRPr="006533B3">
        <w:rPr>
          <w:sz w:val="28"/>
          <w:szCs w:val="28"/>
        </w:rPr>
        <w:lastRenderedPageBreak/>
        <w:t>кіберзахист, стратегічні комунікації, протидія дезінформації та підвищення стійкості до гібридних загроз [40].</w:t>
      </w:r>
    </w:p>
    <w:p w14:paraId="77D4EC87" w14:textId="209D411E" w:rsidR="0007270F" w:rsidRPr="00C1552A" w:rsidRDefault="006533B3" w:rsidP="00C1552A">
      <w:pPr>
        <w:pStyle w:val="whitespace-normal"/>
        <w:spacing w:before="0" w:beforeAutospacing="0" w:after="0" w:afterAutospacing="0" w:line="360" w:lineRule="auto"/>
        <w:ind w:firstLine="709"/>
        <w:jc w:val="both"/>
        <w:rPr>
          <w:sz w:val="28"/>
          <w:szCs w:val="28"/>
        </w:rPr>
      </w:pPr>
      <w:r w:rsidRPr="006533B3">
        <w:rPr>
          <w:sz w:val="28"/>
          <w:szCs w:val="28"/>
        </w:rPr>
        <w:t>Другу стратегічну групу формують «ключові держави» ЄС (Франція, Німеччина, Італія, Іспанія), підходи яких до посилення колективної безпеки характеризуються більшою багатовимірністю та акцентом на розвитку європейських оборонних структур. Франція традиційно виступає адвокатом «європейської стратегічної автономії» та розвитку автономних оборонних спроможностей ЄС. Після початку повномасштабної війни французький підхід еволюціонував у напрямку більшої комплементарності європейських та трансатлантичних безпекових механізмів, що відображено в Національній стратегії безпеки 2022 року. Париж посилив східний вектор оборонної політики, розгорнувши багатонаціональну бойову групу в Румунії та активізувавши військову присутність у Польщі та країнах Балтії. Водночас, Франція зберігає акцент на розвитку європейської оборонної промисловості, стратегічної культури та автономних спроможностей у сфері проєкції сили, розвідки та ядерного стримування. Президент Еммануель Макрон неодноразово наголошував на необхідності «європейського суверенітету» у сфері безпеки та оборони, підкреслюючи, що ефективна підтримка України та протидія російській агресії вимагають не лише посилення трансатлантичних зв'язків, але й розвитку європейських можливостей незалежного забезпечення безпеки [41].</w:t>
      </w:r>
    </w:p>
    <w:p w14:paraId="6E01FB7C" w14:textId="4ED384DD" w:rsidR="006533B3" w:rsidRPr="006533B3" w:rsidRDefault="006533B3" w:rsidP="00C1552A">
      <w:pPr>
        <w:pStyle w:val="whitespace-normal"/>
        <w:spacing w:before="0" w:beforeAutospacing="0" w:after="0" w:afterAutospacing="0" w:line="360" w:lineRule="auto"/>
        <w:ind w:firstLine="709"/>
        <w:jc w:val="both"/>
        <w:rPr>
          <w:sz w:val="28"/>
          <w:szCs w:val="28"/>
        </w:rPr>
      </w:pPr>
      <w:r w:rsidRPr="006533B3">
        <w:rPr>
          <w:sz w:val="28"/>
          <w:szCs w:val="28"/>
        </w:rPr>
        <w:t>Німеччина продемонструвала найбільш радикальну трансформацію безпекової політики після початку повномасштабного російського вторгнення в Україну. Проголошений канцлером Олафом Шольцем «переломний момент» (Zeitenwende) ознаменував фундаментальний відхід від повоєнних принципів стриманості у військовій сфері та конструктивного діалогу з Москвою. Створення спеціального фонду для модернізації Бундесверу в розмірі 100 млрд євро, зобов'язання виділяти понад 2% ВВП на оборону та відмова від енергетичної залежності від Росії стали проявами нової німецької політики безпеки. Попри значні внутрішньополітичні дискусії, Берлін суттєво розширив військову підтримку України, надавши системи протиповітряної оборони IRIS-</w:t>
      </w:r>
      <w:r w:rsidRPr="006533B3">
        <w:rPr>
          <w:sz w:val="28"/>
          <w:szCs w:val="28"/>
        </w:rPr>
        <w:lastRenderedPageBreak/>
        <w:t>T, танки Leopard 2, артилерійські системи PzH 2000 та інше озброєння. Німеччина також ініціювала програму Європейський небесний щит (European Sky Shield Initiative), спрямовану на створення інтегрованої системи протиповітряної оборони в Європі. Водночас, німецький підхід характеризується збалансованістю між зміцненням національних оборонних спроможностей, посиленням європейської інтеграції у сфері безпеки та зміцненням трансатлантичних зв'язків. Берлін підтримує подальший розвиток СПБО, але наголошує на необхідності уникнення дублювання з НАТО та забезпечення взаємодоповнюваності європейських та трансатлантичних безпекових механізмів [42].</w:t>
      </w:r>
      <w:r w:rsidR="00C1552A">
        <w:rPr>
          <w:sz w:val="28"/>
          <w:szCs w:val="28"/>
        </w:rPr>
        <w:t xml:space="preserve"> </w:t>
      </w:r>
      <w:r w:rsidRPr="006533B3">
        <w:rPr>
          <w:sz w:val="28"/>
          <w:szCs w:val="28"/>
        </w:rPr>
        <w:t>Італія та Іспанія демонструють схожі підходи до посилення колективної безпеки, орієнтовані на поступове збільшення оборонних витрат (до 2% ВВП), модернізацію збройних сил та активну участь у європейських оборонних ініціативах. Обидві країни приєдналися до ключових проєктів PESCO, включаючи розробку Європейського патрульного корвета (EPC) та Військової мобільності. Водночас, для південноєвропейських держав характерна більша увага до загроз, що походять з регіону Середземномор'я та Північної Африки: нелегальна міграція, тероризм, регіональна нестабільність. Італія, зокрема, активно лобіює концепцію «360-градусного підходу» до європейської безпеки, що передбачає збалансовану увагу до східного та південного флангів ЄС. Прем'єр-міністр Італії Джорджія Мелоні наголосила в жовтні 2022 року: «Забезпечення європейської безпеки вимагає комплексного підходу, що враховує як загрози з боку Росії, так і виклики, пов'язані з нестабільністю в Середземномор'ї та на Близькому Сході» [43].</w:t>
      </w:r>
    </w:p>
    <w:p w14:paraId="5D19A587" w14:textId="77777777" w:rsidR="006533B3" w:rsidRPr="006533B3" w:rsidRDefault="006533B3" w:rsidP="006533B3">
      <w:pPr>
        <w:pStyle w:val="whitespace-normal"/>
        <w:spacing w:before="0" w:beforeAutospacing="0" w:after="0" w:afterAutospacing="0" w:line="360" w:lineRule="auto"/>
        <w:ind w:firstLine="709"/>
        <w:jc w:val="both"/>
        <w:rPr>
          <w:sz w:val="28"/>
          <w:szCs w:val="28"/>
        </w:rPr>
      </w:pPr>
      <w:r w:rsidRPr="006533B3">
        <w:rPr>
          <w:sz w:val="28"/>
          <w:szCs w:val="28"/>
        </w:rPr>
        <w:t xml:space="preserve">Третю стратегічну групу формують традиційно нейтральні держави (Австрія, Ірландія, Мальта), які після початку повномасштабної війни зіткнулися з необхідністю переосмислення свого статусу в контексті нової безпекової реальності. Хоча ці країни зберігають формальний нейтралітет і не входять до НАТО, вони значно активізували участь у СПБО та посилили оборонні спроможності. Австрія збільшила оборонний бюджет до 1,5% ВВП (з попередніх 0,7%) та прийняла нову Стратегію безпеки, що визнає російську агресію як </w:t>
      </w:r>
      <w:r w:rsidRPr="006533B3">
        <w:rPr>
          <w:sz w:val="28"/>
          <w:szCs w:val="28"/>
        </w:rPr>
        <w:lastRenderedPageBreak/>
        <w:t>ключову загрозу європейській безпеці. Ірландія ініціювала Комісію з питань оборони (Commission on Defense) для комплексного перегляду підходів до забезпечення національної безпеки в нових геополітичних умовах. Характерною рисою підходу нейтральних держав є акцент на невійськових аспектах безпеки: кіберзахист, енергетична безпека, протидія дезінформації та гібридним загрозам. Водночас, російська агресія стимулювала публічні дискусії щодо можливого перегляду нейтрального статусу, особливо у світлі рішення Швеції та Фінляндії приєднатися до НАТО [44].</w:t>
      </w:r>
    </w:p>
    <w:p w14:paraId="3BF01205" w14:textId="77777777" w:rsidR="006533B3" w:rsidRDefault="006533B3" w:rsidP="006533B3">
      <w:pPr>
        <w:pStyle w:val="whitespace-normal"/>
        <w:spacing w:before="0" w:beforeAutospacing="0" w:after="0" w:afterAutospacing="0" w:line="360" w:lineRule="auto"/>
        <w:ind w:firstLine="709"/>
        <w:jc w:val="both"/>
        <w:rPr>
          <w:sz w:val="28"/>
          <w:szCs w:val="28"/>
        </w:rPr>
      </w:pPr>
      <w:r w:rsidRPr="006533B3">
        <w:rPr>
          <w:sz w:val="28"/>
          <w:szCs w:val="28"/>
        </w:rPr>
        <w:t>Окрему групу становлять Швеція та Фінляндія, які після десятиліть військового неприєднання ухвалили рішення про вступ до НАТО. Фінляндія офіційно стала членом Альянсу в квітні 2023 року, а Швеція – в березні 2024 року. Обидві країни мають потужні національні оборонні спроможності та розвинені системи тотальної оборони, що робить їх важливими контрибуторами до колективної безпеки ЄС. Фінляндія, з її 1340-кілометровим кордоном з Росією, представляє особливо важливий стратегічний актив для європейської безпеки. Гельсінкі збільшив оборонний бюджет до 2,3% ВВП та ініціював масштабні програми закупівлі озброєнь, включаючи придбання 64 американських винищувачів F-35. Швеція розвиває власний оборонно-промисловий комплекс, виробляючи високотехнологічну військову продукцію, включаючи системи Gripen, підводні човни та радари. Обидві держави активно підтримують розвиток СПБО як комплементарного механізму до НАТО та виступають за поглиблення співпраці між організаціями. Міністр закордонних справ Швеції Тобіас Більстрьом підкреслив у січні 2023 року: «Членство в НАТО посилює наші можливості робити внесок у європейську безпеку через механізми ЄС. Ці два виміри не конкурують, а взаємно посилюють один одного» [45].</w:t>
      </w:r>
    </w:p>
    <w:p w14:paraId="56BC520E" w14:textId="77777777" w:rsidR="00C1552A" w:rsidRDefault="00C1552A" w:rsidP="006533B3">
      <w:pPr>
        <w:pStyle w:val="whitespace-normal"/>
        <w:spacing w:before="0" w:beforeAutospacing="0" w:after="0" w:afterAutospacing="0" w:line="360" w:lineRule="auto"/>
        <w:ind w:firstLine="709"/>
        <w:jc w:val="both"/>
        <w:rPr>
          <w:sz w:val="28"/>
          <w:szCs w:val="28"/>
        </w:rPr>
      </w:pPr>
    </w:p>
    <w:p w14:paraId="77C86394" w14:textId="77777777" w:rsidR="00C1552A" w:rsidRDefault="00C1552A" w:rsidP="006533B3">
      <w:pPr>
        <w:pStyle w:val="whitespace-normal"/>
        <w:spacing w:before="0" w:beforeAutospacing="0" w:after="0" w:afterAutospacing="0" w:line="360" w:lineRule="auto"/>
        <w:ind w:firstLine="709"/>
        <w:jc w:val="both"/>
        <w:rPr>
          <w:sz w:val="28"/>
          <w:szCs w:val="28"/>
        </w:rPr>
      </w:pPr>
    </w:p>
    <w:p w14:paraId="0728B178" w14:textId="77777777" w:rsidR="00C1552A" w:rsidRDefault="00C1552A" w:rsidP="006533B3">
      <w:pPr>
        <w:pStyle w:val="whitespace-normal"/>
        <w:spacing w:before="0" w:beforeAutospacing="0" w:after="0" w:afterAutospacing="0" w:line="360" w:lineRule="auto"/>
        <w:ind w:firstLine="709"/>
        <w:jc w:val="both"/>
        <w:rPr>
          <w:sz w:val="28"/>
          <w:szCs w:val="28"/>
        </w:rPr>
      </w:pPr>
    </w:p>
    <w:p w14:paraId="3C61A99E" w14:textId="77777777" w:rsidR="00C1552A" w:rsidRPr="006533B3" w:rsidRDefault="00C1552A" w:rsidP="006533B3">
      <w:pPr>
        <w:pStyle w:val="whitespace-normal"/>
        <w:spacing w:before="0" w:beforeAutospacing="0" w:after="0" w:afterAutospacing="0" w:line="360" w:lineRule="auto"/>
        <w:ind w:firstLine="709"/>
        <w:jc w:val="both"/>
        <w:rPr>
          <w:sz w:val="28"/>
          <w:szCs w:val="28"/>
        </w:rPr>
      </w:pPr>
    </w:p>
    <w:p w14:paraId="03F02BD4" w14:textId="281F48CB" w:rsidR="006533B3" w:rsidRPr="00313D00" w:rsidRDefault="006533B3" w:rsidP="00313D00">
      <w:pPr>
        <w:pStyle w:val="whitespace-normal"/>
        <w:spacing w:before="0" w:beforeAutospacing="0" w:after="0" w:afterAutospacing="0" w:line="360" w:lineRule="auto"/>
        <w:ind w:firstLine="709"/>
        <w:jc w:val="center"/>
        <w:rPr>
          <w:sz w:val="28"/>
          <w:szCs w:val="28"/>
          <w:lang w:val="uk-UA"/>
        </w:rPr>
      </w:pPr>
      <w:r w:rsidRPr="006533B3">
        <w:rPr>
          <w:sz w:val="28"/>
          <w:szCs w:val="28"/>
        </w:rPr>
        <w:lastRenderedPageBreak/>
        <w:t>Таблиця 3.1.</w:t>
      </w:r>
      <w:r w:rsidR="00313D00">
        <w:rPr>
          <w:sz w:val="28"/>
          <w:szCs w:val="28"/>
          <w:lang w:val="uk-UA"/>
        </w:rPr>
        <w:t xml:space="preserve"> –</w:t>
      </w:r>
      <w:r w:rsidRPr="006533B3">
        <w:rPr>
          <w:sz w:val="28"/>
          <w:szCs w:val="28"/>
        </w:rPr>
        <w:t xml:space="preserve"> Порівняльна характеристика підходів різних груп держав-членів ЄС до посилення колективної безпеки після лютого 2022 року</w:t>
      </w:r>
    </w:p>
    <w:tbl>
      <w:tblPr>
        <w:tblStyle w:val="a7"/>
        <w:tblW w:w="0" w:type="auto"/>
        <w:tblLook w:val="04A0" w:firstRow="1" w:lastRow="0" w:firstColumn="1" w:lastColumn="0" w:noHBand="0" w:noVBand="1"/>
      </w:tblPr>
      <w:tblGrid>
        <w:gridCol w:w="1539"/>
        <w:gridCol w:w="1863"/>
        <w:gridCol w:w="1332"/>
        <w:gridCol w:w="2134"/>
        <w:gridCol w:w="2760"/>
      </w:tblGrid>
      <w:tr w:rsidR="00C1552A" w:rsidRPr="00C1552A" w14:paraId="795CD47C" w14:textId="77777777" w:rsidTr="00C1552A">
        <w:tc>
          <w:tcPr>
            <w:tcW w:w="0" w:type="auto"/>
            <w:hideMark/>
          </w:tcPr>
          <w:p w14:paraId="2FCE079C" w14:textId="77777777" w:rsidR="006533B3" w:rsidRPr="00C1552A" w:rsidRDefault="006533B3" w:rsidP="00C1552A">
            <w:pPr>
              <w:ind w:firstLine="24"/>
              <w:jc w:val="left"/>
            </w:pPr>
            <w:proofErr w:type="spellStart"/>
            <w:r w:rsidRPr="00C1552A">
              <w:t>Група</w:t>
            </w:r>
            <w:proofErr w:type="spellEnd"/>
            <w:r w:rsidRPr="00C1552A">
              <w:t xml:space="preserve"> </w:t>
            </w:r>
            <w:proofErr w:type="spellStart"/>
            <w:r w:rsidRPr="00C1552A">
              <w:t>країн</w:t>
            </w:r>
            <w:proofErr w:type="spellEnd"/>
          </w:p>
        </w:tc>
        <w:tc>
          <w:tcPr>
            <w:tcW w:w="0" w:type="auto"/>
            <w:hideMark/>
          </w:tcPr>
          <w:p w14:paraId="0E06A9DE" w14:textId="77777777" w:rsidR="006533B3" w:rsidRPr="00C1552A" w:rsidRDefault="006533B3" w:rsidP="00C1552A">
            <w:pPr>
              <w:ind w:firstLine="24"/>
              <w:jc w:val="left"/>
            </w:pPr>
            <w:proofErr w:type="spellStart"/>
            <w:r w:rsidRPr="00C1552A">
              <w:t>Представники</w:t>
            </w:r>
            <w:proofErr w:type="spellEnd"/>
          </w:p>
        </w:tc>
        <w:tc>
          <w:tcPr>
            <w:tcW w:w="0" w:type="auto"/>
            <w:hideMark/>
          </w:tcPr>
          <w:p w14:paraId="30AF53FC" w14:textId="77777777" w:rsidR="006533B3" w:rsidRPr="00C1552A" w:rsidRDefault="006533B3" w:rsidP="00C1552A">
            <w:pPr>
              <w:ind w:firstLine="24"/>
              <w:jc w:val="left"/>
            </w:pPr>
            <w:proofErr w:type="spellStart"/>
            <w:r w:rsidRPr="00C1552A">
              <w:t>Оборонні</w:t>
            </w:r>
            <w:proofErr w:type="spellEnd"/>
            <w:r w:rsidRPr="00C1552A">
              <w:t xml:space="preserve"> </w:t>
            </w:r>
            <w:proofErr w:type="spellStart"/>
            <w:r w:rsidRPr="00C1552A">
              <w:t>витрати</w:t>
            </w:r>
            <w:proofErr w:type="spellEnd"/>
            <w:r w:rsidRPr="00C1552A">
              <w:t xml:space="preserve"> (% ВВП)</w:t>
            </w:r>
          </w:p>
        </w:tc>
        <w:tc>
          <w:tcPr>
            <w:tcW w:w="0" w:type="auto"/>
            <w:hideMark/>
          </w:tcPr>
          <w:p w14:paraId="5135B613" w14:textId="77777777" w:rsidR="006533B3" w:rsidRPr="00C1552A" w:rsidRDefault="006533B3" w:rsidP="00C1552A">
            <w:pPr>
              <w:ind w:firstLine="24"/>
              <w:jc w:val="left"/>
            </w:pPr>
            <w:proofErr w:type="spellStart"/>
            <w:r w:rsidRPr="00C1552A">
              <w:t>Пріоритетні</w:t>
            </w:r>
            <w:proofErr w:type="spellEnd"/>
            <w:r w:rsidRPr="00C1552A">
              <w:t xml:space="preserve"> напрямки</w:t>
            </w:r>
          </w:p>
        </w:tc>
        <w:tc>
          <w:tcPr>
            <w:tcW w:w="0" w:type="auto"/>
            <w:hideMark/>
          </w:tcPr>
          <w:p w14:paraId="1496D457" w14:textId="77777777" w:rsidR="006533B3" w:rsidRPr="00C1552A" w:rsidRDefault="006533B3" w:rsidP="00C1552A">
            <w:pPr>
              <w:ind w:firstLine="24"/>
              <w:jc w:val="left"/>
            </w:pPr>
            <w:proofErr w:type="spellStart"/>
            <w:r w:rsidRPr="00C1552A">
              <w:t>Ставлення</w:t>
            </w:r>
            <w:proofErr w:type="spellEnd"/>
            <w:r w:rsidRPr="00C1552A">
              <w:t xml:space="preserve"> до НАТО і СПБО</w:t>
            </w:r>
          </w:p>
        </w:tc>
      </w:tr>
      <w:tr w:rsidR="00C1552A" w:rsidRPr="00C1552A" w14:paraId="7E9782DE" w14:textId="77777777" w:rsidTr="00C1552A">
        <w:tc>
          <w:tcPr>
            <w:tcW w:w="0" w:type="auto"/>
            <w:hideMark/>
          </w:tcPr>
          <w:p w14:paraId="795092CD" w14:textId="77777777" w:rsidR="006533B3" w:rsidRPr="00C1552A" w:rsidRDefault="006533B3" w:rsidP="00C1552A">
            <w:pPr>
              <w:ind w:firstLine="24"/>
              <w:jc w:val="left"/>
            </w:pPr>
            <w:proofErr w:type="spellStart"/>
            <w:r w:rsidRPr="00C1552A">
              <w:t>Східний</w:t>
            </w:r>
            <w:proofErr w:type="spellEnd"/>
            <w:r w:rsidRPr="00C1552A">
              <w:t xml:space="preserve"> фланг</w:t>
            </w:r>
          </w:p>
        </w:tc>
        <w:tc>
          <w:tcPr>
            <w:tcW w:w="0" w:type="auto"/>
            <w:hideMark/>
          </w:tcPr>
          <w:p w14:paraId="231CC91F" w14:textId="77777777" w:rsidR="006533B3" w:rsidRPr="00C1552A" w:rsidRDefault="006533B3" w:rsidP="00C1552A">
            <w:pPr>
              <w:ind w:firstLine="24"/>
              <w:jc w:val="left"/>
            </w:pPr>
            <w:proofErr w:type="spellStart"/>
            <w:r w:rsidRPr="00C1552A">
              <w:t>Польща</w:t>
            </w:r>
            <w:proofErr w:type="spellEnd"/>
            <w:r w:rsidRPr="00C1552A">
              <w:t xml:space="preserve">, </w:t>
            </w:r>
            <w:proofErr w:type="spellStart"/>
            <w:r w:rsidRPr="00C1552A">
              <w:t>Естонія</w:t>
            </w:r>
            <w:proofErr w:type="spellEnd"/>
            <w:r w:rsidRPr="00C1552A">
              <w:t xml:space="preserve">, </w:t>
            </w:r>
            <w:proofErr w:type="spellStart"/>
            <w:r w:rsidRPr="00C1552A">
              <w:t>Латвія</w:t>
            </w:r>
            <w:proofErr w:type="spellEnd"/>
            <w:r w:rsidRPr="00C1552A">
              <w:t xml:space="preserve">, Литва, </w:t>
            </w:r>
            <w:proofErr w:type="spellStart"/>
            <w:r w:rsidRPr="00C1552A">
              <w:t>Румунія</w:t>
            </w:r>
            <w:proofErr w:type="spellEnd"/>
          </w:p>
        </w:tc>
        <w:tc>
          <w:tcPr>
            <w:tcW w:w="0" w:type="auto"/>
            <w:hideMark/>
          </w:tcPr>
          <w:p w14:paraId="225C6D79" w14:textId="77777777" w:rsidR="006533B3" w:rsidRPr="00C1552A" w:rsidRDefault="006533B3" w:rsidP="00C1552A">
            <w:pPr>
              <w:ind w:firstLine="24"/>
              <w:jc w:val="left"/>
            </w:pPr>
            <w:r w:rsidRPr="00C1552A">
              <w:t>2,5-4%</w:t>
            </w:r>
          </w:p>
        </w:tc>
        <w:tc>
          <w:tcPr>
            <w:tcW w:w="0" w:type="auto"/>
            <w:hideMark/>
          </w:tcPr>
          <w:p w14:paraId="4EE0922C" w14:textId="77777777" w:rsidR="006533B3" w:rsidRPr="00C1552A" w:rsidRDefault="006533B3" w:rsidP="00C1552A">
            <w:pPr>
              <w:ind w:firstLine="24"/>
              <w:jc w:val="left"/>
            </w:pPr>
            <w:proofErr w:type="spellStart"/>
            <w:r w:rsidRPr="00C1552A">
              <w:t>Стримування</w:t>
            </w:r>
            <w:proofErr w:type="spellEnd"/>
            <w:r w:rsidRPr="00C1552A">
              <w:t xml:space="preserve"> </w:t>
            </w:r>
            <w:proofErr w:type="spellStart"/>
            <w:r w:rsidRPr="00C1552A">
              <w:t>російської</w:t>
            </w:r>
            <w:proofErr w:type="spellEnd"/>
            <w:r w:rsidRPr="00C1552A">
              <w:t xml:space="preserve"> </w:t>
            </w:r>
            <w:proofErr w:type="spellStart"/>
            <w:r w:rsidRPr="00C1552A">
              <w:t>загрози</w:t>
            </w:r>
            <w:proofErr w:type="spellEnd"/>
            <w:r w:rsidRPr="00C1552A">
              <w:t xml:space="preserve">, </w:t>
            </w:r>
            <w:proofErr w:type="spellStart"/>
            <w:r w:rsidRPr="00C1552A">
              <w:t>територіальна</w:t>
            </w:r>
            <w:proofErr w:type="spellEnd"/>
            <w:r w:rsidRPr="00C1552A">
              <w:t xml:space="preserve"> оборона, </w:t>
            </w:r>
            <w:proofErr w:type="spellStart"/>
            <w:r w:rsidRPr="00C1552A">
              <w:t>військова</w:t>
            </w:r>
            <w:proofErr w:type="spellEnd"/>
            <w:r w:rsidRPr="00C1552A">
              <w:t xml:space="preserve"> </w:t>
            </w:r>
            <w:proofErr w:type="spellStart"/>
            <w:r w:rsidRPr="00C1552A">
              <w:t>мобільність</w:t>
            </w:r>
            <w:proofErr w:type="spellEnd"/>
          </w:p>
        </w:tc>
        <w:tc>
          <w:tcPr>
            <w:tcW w:w="0" w:type="auto"/>
            <w:hideMark/>
          </w:tcPr>
          <w:p w14:paraId="18548C4F" w14:textId="77777777" w:rsidR="006533B3" w:rsidRPr="00C1552A" w:rsidRDefault="006533B3" w:rsidP="00C1552A">
            <w:pPr>
              <w:ind w:firstLine="24"/>
              <w:jc w:val="left"/>
            </w:pPr>
            <w:r w:rsidRPr="00C1552A">
              <w:t xml:space="preserve">НАТО як </w:t>
            </w:r>
            <w:proofErr w:type="spellStart"/>
            <w:r w:rsidRPr="00C1552A">
              <w:t>головний</w:t>
            </w:r>
            <w:proofErr w:type="spellEnd"/>
            <w:r w:rsidRPr="00C1552A">
              <w:t xml:space="preserve"> гарант </w:t>
            </w:r>
            <w:proofErr w:type="spellStart"/>
            <w:r w:rsidRPr="00C1552A">
              <w:t>безпеки</w:t>
            </w:r>
            <w:proofErr w:type="spellEnd"/>
            <w:r w:rsidRPr="00C1552A">
              <w:t xml:space="preserve">; СПБО як </w:t>
            </w:r>
            <w:proofErr w:type="spellStart"/>
            <w:r w:rsidRPr="00C1552A">
              <w:t>комплементарний</w:t>
            </w:r>
            <w:proofErr w:type="spellEnd"/>
            <w:r w:rsidRPr="00C1552A">
              <w:t xml:space="preserve"> </w:t>
            </w:r>
            <w:proofErr w:type="spellStart"/>
            <w:r w:rsidRPr="00C1552A">
              <w:t>механізм</w:t>
            </w:r>
            <w:proofErr w:type="spellEnd"/>
          </w:p>
        </w:tc>
      </w:tr>
      <w:tr w:rsidR="00C1552A" w:rsidRPr="00C1552A" w14:paraId="27ADE52B" w14:textId="77777777" w:rsidTr="00C1552A">
        <w:tc>
          <w:tcPr>
            <w:tcW w:w="0" w:type="auto"/>
            <w:hideMark/>
          </w:tcPr>
          <w:p w14:paraId="15848C7E" w14:textId="77777777" w:rsidR="006533B3" w:rsidRPr="00C1552A" w:rsidRDefault="006533B3" w:rsidP="00C1552A">
            <w:pPr>
              <w:ind w:firstLine="24"/>
              <w:jc w:val="left"/>
            </w:pPr>
            <w:proofErr w:type="spellStart"/>
            <w:r w:rsidRPr="00C1552A">
              <w:t>Ключові</w:t>
            </w:r>
            <w:proofErr w:type="spellEnd"/>
            <w:r w:rsidRPr="00C1552A">
              <w:t xml:space="preserve"> </w:t>
            </w:r>
            <w:proofErr w:type="spellStart"/>
            <w:r w:rsidRPr="00C1552A">
              <w:t>держави</w:t>
            </w:r>
            <w:proofErr w:type="spellEnd"/>
          </w:p>
        </w:tc>
        <w:tc>
          <w:tcPr>
            <w:tcW w:w="0" w:type="auto"/>
            <w:hideMark/>
          </w:tcPr>
          <w:p w14:paraId="190E6B68" w14:textId="77777777" w:rsidR="006533B3" w:rsidRPr="00C1552A" w:rsidRDefault="006533B3" w:rsidP="00C1552A">
            <w:pPr>
              <w:ind w:firstLine="24"/>
              <w:jc w:val="left"/>
            </w:pPr>
            <w:proofErr w:type="spellStart"/>
            <w:r w:rsidRPr="00C1552A">
              <w:t>Франція</w:t>
            </w:r>
            <w:proofErr w:type="spellEnd"/>
            <w:r w:rsidRPr="00C1552A">
              <w:t xml:space="preserve">, </w:t>
            </w:r>
            <w:proofErr w:type="spellStart"/>
            <w:r w:rsidRPr="00C1552A">
              <w:t>Німеччина</w:t>
            </w:r>
            <w:proofErr w:type="spellEnd"/>
            <w:r w:rsidRPr="00C1552A">
              <w:t xml:space="preserve">, </w:t>
            </w:r>
            <w:proofErr w:type="spellStart"/>
            <w:r w:rsidRPr="00C1552A">
              <w:t>Італія</w:t>
            </w:r>
            <w:proofErr w:type="spellEnd"/>
            <w:r w:rsidRPr="00C1552A">
              <w:t xml:space="preserve">, </w:t>
            </w:r>
            <w:proofErr w:type="spellStart"/>
            <w:r w:rsidRPr="00C1552A">
              <w:t>Іспанія</w:t>
            </w:r>
            <w:proofErr w:type="spellEnd"/>
          </w:p>
        </w:tc>
        <w:tc>
          <w:tcPr>
            <w:tcW w:w="0" w:type="auto"/>
            <w:hideMark/>
          </w:tcPr>
          <w:p w14:paraId="593B4002" w14:textId="77777777" w:rsidR="006533B3" w:rsidRPr="00C1552A" w:rsidRDefault="006533B3" w:rsidP="00C1552A">
            <w:pPr>
              <w:ind w:firstLine="24"/>
              <w:jc w:val="left"/>
            </w:pPr>
            <w:r w:rsidRPr="00C1552A">
              <w:t>1,8-2,5%</w:t>
            </w:r>
          </w:p>
        </w:tc>
        <w:tc>
          <w:tcPr>
            <w:tcW w:w="0" w:type="auto"/>
            <w:hideMark/>
          </w:tcPr>
          <w:p w14:paraId="511374A7" w14:textId="77777777" w:rsidR="006533B3" w:rsidRPr="00C1552A" w:rsidRDefault="006533B3" w:rsidP="00C1552A">
            <w:pPr>
              <w:ind w:firstLine="24"/>
              <w:jc w:val="left"/>
            </w:pPr>
            <w:proofErr w:type="spellStart"/>
            <w:r w:rsidRPr="00C1552A">
              <w:t>Розвиток</w:t>
            </w:r>
            <w:proofErr w:type="spellEnd"/>
            <w:r w:rsidRPr="00C1552A">
              <w:t xml:space="preserve"> </w:t>
            </w:r>
            <w:proofErr w:type="spellStart"/>
            <w:r w:rsidRPr="00C1552A">
              <w:t>європейської</w:t>
            </w:r>
            <w:proofErr w:type="spellEnd"/>
            <w:r w:rsidRPr="00C1552A">
              <w:t xml:space="preserve"> </w:t>
            </w:r>
            <w:proofErr w:type="spellStart"/>
            <w:r w:rsidRPr="00C1552A">
              <w:t>оборонної</w:t>
            </w:r>
            <w:proofErr w:type="spellEnd"/>
            <w:r w:rsidRPr="00C1552A">
              <w:t xml:space="preserve"> </w:t>
            </w:r>
            <w:proofErr w:type="spellStart"/>
            <w:r w:rsidRPr="00C1552A">
              <w:t>промисловості</w:t>
            </w:r>
            <w:proofErr w:type="spellEnd"/>
            <w:r w:rsidRPr="00C1552A">
              <w:t xml:space="preserve">, </w:t>
            </w:r>
            <w:proofErr w:type="spellStart"/>
            <w:r w:rsidRPr="00C1552A">
              <w:t>стратегічна</w:t>
            </w:r>
            <w:proofErr w:type="spellEnd"/>
            <w:r w:rsidRPr="00C1552A">
              <w:t xml:space="preserve"> </w:t>
            </w:r>
            <w:proofErr w:type="spellStart"/>
            <w:r w:rsidRPr="00C1552A">
              <w:t>автономія</w:t>
            </w:r>
            <w:proofErr w:type="spellEnd"/>
            <w:r w:rsidRPr="00C1552A">
              <w:t xml:space="preserve">, </w:t>
            </w:r>
            <w:proofErr w:type="spellStart"/>
            <w:r w:rsidRPr="00C1552A">
              <w:t>комплексний</w:t>
            </w:r>
            <w:proofErr w:type="spellEnd"/>
            <w:r w:rsidRPr="00C1552A">
              <w:t xml:space="preserve"> </w:t>
            </w:r>
            <w:proofErr w:type="spellStart"/>
            <w:r w:rsidRPr="00C1552A">
              <w:t>підхід</w:t>
            </w:r>
            <w:proofErr w:type="spellEnd"/>
            <w:r w:rsidRPr="00C1552A">
              <w:t xml:space="preserve"> до </w:t>
            </w:r>
            <w:proofErr w:type="spellStart"/>
            <w:r w:rsidRPr="00C1552A">
              <w:t>безпеки</w:t>
            </w:r>
            <w:proofErr w:type="spellEnd"/>
          </w:p>
        </w:tc>
        <w:tc>
          <w:tcPr>
            <w:tcW w:w="0" w:type="auto"/>
            <w:hideMark/>
          </w:tcPr>
          <w:p w14:paraId="726F0208" w14:textId="77777777" w:rsidR="006533B3" w:rsidRPr="00C1552A" w:rsidRDefault="006533B3" w:rsidP="00C1552A">
            <w:pPr>
              <w:ind w:firstLine="24"/>
              <w:jc w:val="left"/>
            </w:pPr>
            <w:proofErr w:type="spellStart"/>
            <w:r w:rsidRPr="00C1552A">
              <w:t>Збалансований</w:t>
            </w:r>
            <w:proofErr w:type="spellEnd"/>
            <w:r w:rsidRPr="00C1552A">
              <w:t xml:space="preserve"> </w:t>
            </w:r>
            <w:proofErr w:type="spellStart"/>
            <w:r w:rsidRPr="00C1552A">
              <w:t>підхід</w:t>
            </w:r>
            <w:proofErr w:type="spellEnd"/>
            <w:r w:rsidRPr="00C1552A">
              <w:t xml:space="preserve"> до НАТО і СПБО; акцент на </w:t>
            </w:r>
            <w:proofErr w:type="spellStart"/>
            <w:r w:rsidRPr="00C1552A">
              <w:t>європейській</w:t>
            </w:r>
            <w:proofErr w:type="spellEnd"/>
            <w:r w:rsidRPr="00C1552A">
              <w:t xml:space="preserve"> </w:t>
            </w:r>
            <w:proofErr w:type="spellStart"/>
            <w:r w:rsidRPr="00C1552A">
              <w:t>стратегічній</w:t>
            </w:r>
            <w:proofErr w:type="spellEnd"/>
            <w:r w:rsidRPr="00C1552A">
              <w:t xml:space="preserve"> </w:t>
            </w:r>
            <w:proofErr w:type="spellStart"/>
            <w:r w:rsidRPr="00C1552A">
              <w:t>автономії</w:t>
            </w:r>
            <w:proofErr w:type="spellEnd"/>
          </w:p>
        </w:tc>
      </w:tr>
      <w:tr w:rsidR="00C1552A" w:rsidRPr="00C1552A" w14:paraId="2DD0A284" w14:textId="77777777" w:rsidTr="00C1552A">
        <w:tc>
          <w:tcPr>
            <w:tcW w:w="0" w:type="auto"/>
            <w:hideMark/>
          </w:tcPr>
          <w:p w14:paraId="553D6AA0" w14:textId="77777777" w:rsidR="006533B3" w:rsidRPr="00C1552A" w:rsidRDefault="006533B3" w:rsidP="00C1552A">
            <w:pPr>
              <w:ind w:firstLine="24"/>
              <w:jc w:val="left"/>
            </w:pPr>
            <w:proofErr w:type="spellStart"/>
            <w:r w:rsidRPr="00C1552A">
              <w:t>Нейтральні</w:t>
            </w:r>
            <w:proofErr w:type="spellEnd"/>
            <w:r w:rsidRPr="00C1552A">
              <w:t xml:space="preserve"> </w:t>
            </w:r>
            <w:proofErr w:type="spellStart"/>
            <w:r w:rsidRPr="00C1552A">
              <w:t>держави</w:t>
            </w:r>
            <w:proofErr w:type="spellEnd"/>
          </w:p>
        </w:tc>
        <w:tc>
          <w:tcPr>
            <w:tcW w:w="0" w:type="auto"/>
            <w:hideMark/>
          </w:tcPr>
          <w:p w14:paraId="30306B52" w14:textId="77777777" w:rsidR="006533B3" w:rsidRPr="00C1552A" w:rsidRDefault="006533B3" w:rsidP="00C1552A">
            <w:pPr>
              <w:ind w:firstLine="24"/>
              <w:jc w:val="left"/>
            </w:pPr>
            <w:proofErr w:type="spellStart"/>
            <w:r w:rsidRPr="00C1552A">
              <w:t>Австрія</w:t>
            </w:r>
            <w:proofErr w:type="spellEnd"/>
            <w:r w:rsidRPr="00C1552A">
              <w:t xml:space="preserve">, </w:t>
            </w:r>
            <w:proofErr w:type="spellStart"/>
            <w:r w:rsidRPr="00C1552A">
              <w:t>Ірландія</w:t>
            </w:r>
            <w:proofErr w:type="spellEnd"/>
            <w:r w:rsidRPr="00C1552A">
              <w:t>, Мальта</w:t>
            </w:r>
          </w:p>
        </w:tc>
        <w:tc>
          <w:tcPr>
            <w:tcW w:w="0" w:type="auto"/>
            <w:hideMark/>
          </w:tcPr>
          <w:p w14:paraId="4C91F18B" w14:textId="77777777" w:rsidR="006533B3" w:rsidRPr="00C1552A" w:rsidRDefault="006533B3" w:rsidP="00C1552A">
            <w:pPr>
              <w:ind w:firstLine="24"/>
              <w:jc w:val="left"/>
            </w:pPr>
            <w:r w:rsidRPr="00C1552A">
              <w:t>0,9-1,5%</w:t>
            </w:r>
          </w:p>
        </w:tc>
        <w:tc>
          <w:tcPr>
            <w:tcW w:w="0" w:type="auto"/>
            <w:hideMark/>
          </w:tcPr>
          <w:p w14:paraId="15EC49A6" w14:textId="77777777" w:rsidR="006533B3" w:rsidRPr="00C1552A" w:rsidRDefault="006533B3" w:rsidP="00C1552A">
            <w:pPr>
              <w:ind w:firstLine="24"/>
              <w:jc w:val="left"/>
            </w:pPr>
            <w:proofErr w:type="spellStart"/>
            <w:r w:rsidRPr="00C1552A">
              <w:t>Невійськові</w:t>
            </w:r>
            <w:proofErr w:type="spellEnd"/>
            <w:r w:rsidRPr="00C1552A">
              <w:t xml:space="preserve"> </w:t>
            </w:r>
            <w:proofErr w:type="spellStart"/>
            <w:r w:rsidRPr="00C1552A">
              <w:t>аспекти</w:t>
            </w:r>
            <w:proofErr w:type="spellEnd"/>
            <w:r w:rsidRPr="00C1552A">
              <w:t xml:space="preserve"> </w:t>
            </w:r>
            <w:proofErr w:type="spellStart"/>
            <w:r w:rsidRPr="00C1552A">
              <w:t>безпеки</w:t>
            </w:r>
            <w:proofErr w:type="spellEnd"/>
            <w:r w:rsidRPr="00C1552A">
              <w:t xml:space="preserve">, </w:t>
            </w:r>
            <w:proofErr w:type="spellStart"/>
            <w:r w:rsidRPr="00C1552A">
              <w:t>кіберзахист</w:t>
            </w:r>
            <w:proofErr w:type="spellEnd"/>
            <w:r w:rsidRPr="00C1552A">
              <w:t xml:space="preserve">, </w:t>
            </w:r>
            <w:proofErr w:type="spellStart"/>
            <w:r w:rsidRPr="00C1552A">
              <w:t>енергетична</w:t>
            </w:r>
            <w:proofErr w:type="spellEnd"/>
            <w:r w:rsidRPr="00C1552A">
              <w:t xml:space="preserve"> </w:t>
            </w:r>
            <w:proofErr w:type="spellStart"/>
            <w:r w:rsidRPr="00C1552A">
              <w:t>безпека</w:t>
            </w:r>
            <w:proofErr w:type="spellEnd"/>
          </w:p>
        </w:tc>
        <w:tc>
          <w:tcPr>
            <w:tcW w:w="0" w:type="auto"/>
            <w:hideMark/>
          </w:tcPr>
          <w:p w14:paraId="24D22B37" w14:textId="77777777" w:rsidR="006533B3" w:rsidRPr="00C1552A" w:rsidRDefault="006533B3" w:rsidP="00C1552A">
            <w:pPr>
              <w:ind w:firstLine="24"/>
              <w:jc w:val="left"/>
            </w:pPr>
            <w:proofErr w:type="spellStart"/>
            <w:r w:rsidRPr="00C1552A">
              <w:t>Обмежена</w:t>
            </w:r>
            <w:proofErr w:type="spellEnd"/>
            <w:r w:rsidRPr="00C1552A">
              <w:t xml:space="preserve"> участь у НАТО; активна </w:t>
            </w:r>
            <w:proofErr w:type="spellStart"/>
            <w:r w:rsidRPr="00C1552A">
              <w:t>підтримка</w:t>
            </w:r>
            <w:proofErr w:type="spellEnd"/>
            <w:r w:rsidRPr="00C1552A">
              <w:t xml:space="preserve"> </w:t>
            </w:r>
            <w:proofErr w:type="spellStart"/>
            <w:r w:rsidRPr="00C1552A">
              <w:t>цивільних</w:t>
            </w:r>
            <w:proofErr w:type="spellEnd"/>
            <w:r w:rsidRPr="00C1552A">
              <w:t xml:space="preserve"> </w:t>
            </w:r>
            <w:proofErr w:type="spellStart"/>
            <w:r w:rsidRPr="00C1552A">
              <w:t>аспектів</w:t>
            </w:r>
            <w:proofErr w:type="spellEnd"/>
            <w:r w:rsidRPr="00C1552A">
              <w:t xml:space="preserve"> СПБО</w:t>
            </w:r>
          </w:p>
        </w:tc>
      </w:tr>
      <w:tr w:rsidR="00C1552A" w:rsidRPr="00C1552A" w14:paraId="41E218F8" w14:textId="77777777" w:rsidTr="00C1552A">
        <w:tc>
          <w:tcPr>
            <w:tcW w:w="0" w:type="auto"/>
            <w:hideMark/>
          </w:tcPr>
          <w:p w14:paraId="37F76B02" w14:textId="77777777" w:rsidR="006533B3" w:rsidRPr="00C1552A" w:rsidRDefault="006533B3" w:rsidP="00C1552A">
            <w:pPr>
              <w:ind w:firstLine="24"/>
              <w:jc w:val="left"/>
            </w:pPr>
            <w:proofErr w:type="spellStart"/>
            <w:r w:rsidRPr="00C1552A">
              <w:t>Колишні</w:t>
            </w:r>
            <w:proofErr w:type="spellEnd"/>
            <w:r w:rsidRPr="00C1552A">
              <w:t xml:space="preserve"> </w:t>
            </w:r>
            <w:proofErr w:type="spellStart"/>
            <w:r w:rsidRPr="00C1552A">
              <w:t>нейтральні</w:t>
            </w:r>
            <w:proofErr w:type="spellEnd"/>
            <w:r w:rsidRPr="00C1552A">
              <w:t xml:space="preserve"> </w:t>
            </w:r>
            <w:proofErr w:type="spellStart"/>
            <w:r w:rsidRPr="00C1552A">
              <w:t>держави</w:t>
            </w:r>
            <w:proofErr w:type="spellEnd"/>
          </w:p>
        </w:tc>
        <w:tc>
          <w:tcPr>
            <w:tcW w:w="0" w:type="auto"/>
            <w:hideMark/>
          </w:tcPr>
          <w:p w14:paraId="29D10963" w14:textId="77777777" w:rsidR="006533B3" w:rsidRPr="00C1552A" w:rsidRDefault="006533B3" w:rsidP="00C1552A">
            <w:pPr>
              <w:ind w:firstLine="24"/>
              <w:jc w:val="left"/>
            </w:pPr>
            <w:proofErr w:type="spellStart"/>
            <w:r w:rsidRPr="00C1552A">
              <w:t>Швеція</w:t>
            </w:r>
            <w:proofErr w:type="spellEnd"/>
            <w:r w:rsidRPr="00C1552A">
              <w:t xml:space="preserve">, </w:t>
            </w:r>
            <w:proofErr w:type="spellStart"/>
            <w:r w:rsidRPr="00C1552A">
              <w:t>Фінляндія</w:t>
            </w:r>
            <w:proofErr w:type="spellEnd"/>
          </w:p>
        </w:tc>
        <w:tc>
          <w:tcPr>
            <w:tcW w:w="0" w:type="auto"/>
            <w:hideMark/>
          </w:tcPr>
          <w:p w14:paraId="5361F6C0" w14:textId="77777777" w:rsidR="006533B3" w:rsidRPr="00C1552A" w:rsidRDefault="006533B3" w:rsidP="00C1552A">
            <w:pPr>
              <w:ind w:firstLine="24"/>
              <w:jc w:val="left"/>
            </w:pPr>
            <w:r w:rsidRPr="00C1552A">
              <w:t>2,0-2,3%</w:t>
            </w:r>
          </w:p>
        </w:tc>
        <w:tc>
          <w:tcPr>
            <w:tcW w:w="0" w:type="auto"/>
            <w:hideMark/>
          </w:tcPr>
          <w:p w14:paraId="70441125" w14:textId="77777777" w:rsidR="006533B3" w:rsidRPr="00C1552A" w:rsidRDefault="006533B3" w:rsidP="00C1552A">
            <w:pPr>
              <w:ind w:firstLine="24"/>
              <w:jc w:val="left"/>
            </w:pPr>
            <w:r w:rsidRPr="00C1552A">
              <w:t xml:space="preserve">Тотальна оборона, </w:t>
            </w:r>
            <w:proofErr w:type="spellStart"/>
            <w:r w:rsidRPr="00C1552A">
              <w:t>технологічні</w:t>
            </w:r>
            <w:proofErr w:type="spellEnd"/>
            <w:r w:rsidRPr="00C1552A">
              <w:t xml:space="preserve"> </w:t>
            </w:r>
            <w:proofErr w:type="spellStart"/>
            <w:r w:rsidRPr="00C1552A">
              <w:t>інновації</w:t>
            </w:r>
            <w:proofErr w:type="spellEnd"/>
            <w:r w:rsidRPr="00C1552A">
              <w:t xml:space="preserve">, </w:t>
            </w:r>
            <w:proofErr w:type="spellStart"/>
            <w:r w:rsidRPr="00C1552A">
              <w:t>захист</w:t>
            </w:r>
            <w:proofErr w:type="spellEnd"/>
            <w:r w:rsidRPr="00C1552A">
              <w:t xml:space="preserve"> </w:t>
            </w:r>
            <w:proofErr w:type="spellStart"/>
            <w:r w:rsidRPr="00C1552A">
              <w:t>критичної</w:t>
            </w:r>
            <w:proofErr w:type="spellEnd"/>
            <w:r w:rsidRPr="00C1552A">
              <w:t xml:space="preserve"> </w:t>
            </w:r>
            <w:proofErr w:type="spellStart"/>
            <w:r w:rsidRPr="00C1552A">
              <w:t>інфраструктури</w:t>
            </w:r>
            <w:proofErr w:type="spellEnd"/>
          </w:p>
        </w:tc>
        <w:tc>
          <w:tcPr>
            <w:tcW w:w="0" w:type="auto"/>
            <w:hideMark/>
          </w:tcPr>
          <w:p w14:paraId="7E5299C5" w14:textId="77777777" w:rsidR="006533B3" w:rsidRPr="00C1552A" w:rsidRDefault="006533B3" w:rsidP="00C1552A">
            <w:pPr>
              <w:ind w:firstLine="24"/>
              <w:jc w:val="left"/>
            </w:pPr>
            <w:proofErr w:type="spellStart"/>
            <w:r w:rsidRPr="00C1552A">
              <w:t>Нові</w:t>
            </w:r>
            <w:proofErr w:type="spellEnd"/>
            <w:r w:rsidRPr="00C1552A">
              <w:t xml:space="preserve"> члени НАТО; </w:t>
            </w:r>
            <w:proofErr w:type="spellStart"/>
            <w:r w:rsidRPr="00C1552A">
              <w:t>активні</w:t>
            </w:r>
            <w:proofErr w:type="spellEnd"/>
            <w:r w:rsidRPr="00C1552A">
              <w:t xml:space="preserve"> </w:t>
            </w:r>
            <w:proofErr w:type="spellStart"/>
            <w:r w:rsidRPr="00C1552A">
              <w:t>учасники</w:t>
            </w:r>
            <w:proofErr w:type="spellEnd"/>
            <w:r w:rsidRPr="00C1552A">
              <w:t xml:space="preserve"> СПБО</w:t>
            </w:r>
          </w:p>
        </w:tc>
      </w:tr>
      <w:tr w:rsidR="00C1552A" w:rsidRPr="00C1552A" w14:paraId="61BB5E92" w14:textId="77777777" w:rsidTr="00C1552A">
        <w:tc>
          <w:tcPr>
            <w:tcW w:w="0" w:type="auto"/>
            <w:hideMark/>
          </w:tcPr>
          <w:p w14:paraId="19E4CC6B" w14:textId="77777777" w:rsidR="006533B3" w:rsidRPr="00C1552A" w:rsidRDefault="006533B3" w:rsidP="00C1552A">
            <w:pPr>
              <w:ind w:firstLine="24"/>
              <w:jc w:val="left"/>
            </w:pPr>
            <w:proofErr w:type="spellStart"/>
            <w:r w:rsidRPr="00C1552A">
              <w:t>Південний</w:t>
            </w:r>
            <w:proofErr w:type="spellEnd"/>
            <w:r w:rsidRPr="00C1552A">
              <w:t xml:space="preserve"> фланг</w:t>
            </w:r>
          </w:p>
        </w:tc>
        <w:tc>
          <w:tcPr>
            <w:tcW w:w="0" w:type="auto"/>
            <w:hideMark/>
          </w:tcPr>
          <w:p w14:paraId="7982F50B" w14:textId="77777777" w:rsidR="006533B3" w:rsidRPr="00C1552A" w:rsidRDefault="006533B3" w:rsidP="00C1552A">
            <w:pPr>
              <w:ind w:firstLine="24"/>
              <w:jc w:val="left"/>
            </w:pPr>
            <w:proofErr w:type="spellStart"/>
            <w:r w:rsidRPr="00C1552A">
              <w:t>Греція</w:t>
            </w:r>
            <w:proofErr w:type="spellEnd"/>
            <w:r w:rsidRPr="00C1552A">
              <w:t xml:space="preserve">, </w:t>
            </w:r>
            <w:proofErr w:type="spellStart"/>
            <w:r w:rsidRPr="00C1552A">
              <w:t>Кіпр</w:t>
            </w:r>
            <w:proofErr w:type="spellEnd"/>
            <w:r w:rsidRPr="00C1552A">
              <w:t xml:space="preserve">, </w:t>
            </w:r>
            <w:proofErr w:type="spellStart"/>
            <w:r w:rsidRPr="00C1552A">
              <w:t>Португалія</w:t>
            </w:r>
            <w:proofErr w:type="spellEnd"/>
          </w:p>
        </w:tc>
        <w:tc>
          <w:tcPr>
            <w:tcW w:w="0" w:type="auto"/>
            <w:hideMark/>
          </w:tcPr>
          <w:p w14:paraId="2FFF8E79" w14:textId="77777777" w:rsidR="006533B3" w:rsidRPr="00C1552A" w:rsidRDefault="006533B3" w:rsidP="00C1552A">
            <w:pPr>
              <w:ind w:firstLine="24"/>
              <w:jc w:val="left"/>
            </w:pPr>
            <w:r w:rsidRPr="00C1552A">
              <w:t>2,0-3,5%</w:t>
            </w:r>
          </w:p>
        </w:tc>
        <w:tc>
          <w:tcPr>
            <w:tcW w:w="0" w:type="auto"/>
            <w:hideMark/>
          </w:tcPr>
          <w:p w14:paraId="7A098BF3" w14:textId="77777777" w:rsidR="006533B3" w:rsidRPr="00C1552A" w:rsidRDefault="006533B3" w:rsidP="00C1552A">
            <w:pPr>
              <w:ind w:firstLine="24"/>
              <w:jc w:val="left"/>
            </w:pPr>
            <w:proofErr w:type="spellStart"/>
            <w:r w:rsidRPr="00C1552A">
              <w:t>Морська</w:t>
            </w:r>
            <w:proofErr w:type="spellEnd"/>
            <w:r w:rsidRPr="00C1552A">
              <w:t xml:space="preserve"> </w:t>
            </w:r>
            <w:proofErr w:type="spellStart"/>
            <w:r w:rsidRPr="00C1552A">
              <w:t>безпека</w:t>
            </w:r>
            <w:proofErr w:type="spellEnd"/>
            <w:r w:rsidRPr="00C1552A">
              <w:t xml:space="preserve">, </w:t>
            </w:r>
            <w:proofErr w:type="spellStart"/>
            <w:r w:rsidRPr="00C1552A">
              <w:t>міграційні</w:t>
            </w:r>
            <w:proofErr w:type="spellEnd"/>
            <w:r w:rsidRPr="00C1552A">
              <w:t xml:space="preserve"> </w:t>
            </w:r>
            <w:proofErr w:type="spellStart"/>
            <w:r w:rsidRPr="00C1552A">
              <w:t>виклики</w:t>
            </w:r>
            <w:proofErr w:type="spellEnd"/>
            <w:r w:rsidRPr="00C1552A">
              <w:t xml:space="preserve">, </w:t>
            </w:r>
            <w:proofErr w:type="spellStart"/>
            <w:r w:rsidRPr="00C1552A">
              <w:t>регіональна</w:t>
            </w:r>
            <w:proofErr w:type="spellEnd"/>
            <w:r w:rsidRPr="00C1552A">
              <w:t xml:space="preserve"> </w:t>
            </w:r>
            <w:proofErr w:type="spellStart"/>
            <w:r w:rsidRPr="00C1552A">
              <w:t>стабільність</w:t>
            </w:r>
            <w:proofErr w:type="spellEnd"/>
            <w:r w:rsidRPr="00C1552A">
              <w:t xml:space="preserve"> у </w:t>
            </w:r>
            <w:proofErr w:type="spellStart"/>
            <w:r w:rsidRPr="00C1552A">
              <w:t>Середземномор'ї</w:t>
            </w:r>
            <w:proofErr w:type="spellEnd"/>
          </w:p>
        </w:tc>
        <w:tc>
          <w:tcPr>
            <w:tcW w:w="0" w:type="auto"/>
            <w:hideMark/>
          </w:tcPr>
          <w:p w14:paraId="5B4ADADE" w14:textId="77777777" w:rsidR="006533B3" w:rsidRPr="00C1552A" w:rsidRDefault="006533B3" w:rsidP="00C1552A">
            <w:pPr>
              <w:ind w:firstLine="24"/>
              <w:jc w:val="left"/>
            </w:pPr>
            <w:proofErr w:type="spellStart"/>
            <w:r w:rsidRPr="00C1552A">
              <w:t>Підтримка</w:t>
            </w:r>
            <w:proofErr w:type="spellEnd"/>
            <w:r w:rsidRPr="00C1552A">
              <w:t xml:space="preserve"> НАТО (</w:t>
            </w:r>
            <w:proofErr w:type="spellStart"/>
            <w:r w:rsidRPr="00C1552A">
              <w:t>крім</w:t>
            </w:r>
            <w:proofErr w:type="spellEnd"/>
            <w:r w:rsidRPr="00C1552A">
              <w:t xml:space="preserve"> </w:t>
            </w:r>
            <w:proofErr w:type="spellStart"/>
            <w:r w:rsidRPr="00C1552A">
              <w:t>Кіпру</w:t>
            </w:r>
            <w:proofErr w:type="spellEnd"/>
            <w:r w:rsidRPr="00C1552A">
              <w:t xml:space="preserve">); акцент на </w:t>
            </w:r>
            <w:proofErr w:type="spellStart"/>
            <w:r w:rsidRPr="00C1552A">
              <w:t>середземноморському</w:t>
            </w:r>
            <w:proofErr w:type="spellEnd"/>
            <w:r w:rsidRPr="00C1552A">
              <w:t xml:space="preserve"> </w:t>
            </w:r>
            <w:proofErr w:type="spellStart"/>
            <w:r w:rsidRPr="00C1552A">
              <w:t>вимірі</w:t>
            </w:r>
            <w:proofErr w:type="spellEnd"/>
            <w:r w:rsidRPr="00C1552A">
              <w:t xml:space="preserve"> СПБО</w:t>
            </w:r>
          </w:p>
        </w:tc>
      </w:tr>
    </w:tbl>
    <w:p w14:paraId="6C2804C4" w14:textId="77777777" w:rsidR="006533B3" w:rsidRPr="006533B3" w:rsidRDefault="006533B3" w:rsidP="006533B3">
      <w:pPr>
        <w:pStyle w:val="whitespace-normal"/>
        <w:spacing w:before="0" w:beforeAutospacing="0" w:after="0" w:afterAutospacing="0" w:line="360" w:lineRule="auto"/>
        <w:ind w:firstLine="709"/>
        <w:jc w:val="both"/>
        <w:rPr>
          <w:sz w:val="28"/>
          <w:szCs w:val="28"/>
        </w:rPr>
      </w:pPr>
      <w:r w:rsidRPr="006533B3">
        <w:rPr>
          <w:sz w:val="28"/>
          <w:szCs w:val="28"/>
        </w:rPr>
        <w:lastRenderedPageBreak/>
        <w:t>Держави «південного флангу» (Греція, Кіпр, Португалія) демонструють специфічний підхід до посилення колективної безпеки, що поєднує стурбованість російською загрозою з акцентом на регіональних викликах у Східному Середземномор'ї та Північній Африці. Греція, яка має історично складні відносини з Туреччиною, підтримує один з найвищих рівнів оборонних витрат в ЄС (3,5% ВВП) та реалізує амбітну програму модернізації збройних сил, включаючи закупівлю французьких фрегатів Belharra та винищувачів Rafale. Афіни виступають за посилення морського компоненту СПБО та розвиток європейських механізмів морського спостереження та патрулювання. Кіпр, єдина держава-член ЄС, яка не є членом НАТО через турецьку окупацію північної частини острова, розглядає СПБО як ключовий механізм забезпечення своєї безпеки та лобіює посилення компоненту захисту критичної інфраструктури, включаючи енергетичні об'єкти в Східному Середземномор'ї [46].</w:t>
      </w:r>
    </w:p>
    <w:p w14:paraId="564BCB76" w14:textId="77777777" w:rsidR="006533B3" w:rsidRPr="006533B3" w:rsidRDefault="006533B3" w:rsidP="006533B3">
      <w:pPr>
        <w:pStyle w:val="whitespace-normal"/>
        <w:spacing w:before="0" w:beforeAutospacing="0" w:after="0" w:afterAutospacing="0" w:line="360" w:lineRule="auto"/>
        <w:ind w:firstLine="709"/>
        <w:jc w:val="both"/>
        <w:rPr>
          <w:sz w:val="28"/>
          <w:szCs w:val="28"/>
        </w:rPr>
      </w:pPr>
      <w:r w:rsidRPr="006533B3">
        <w:rPr>
          <w:sz w:val="28"/>
          <w:szCs w:val="28"/>
        </w:rPr>
        <w:t>Країни Бенілюксу (Бельгія, Нідерланди, Люксембург) демонструють збалансований підхід до посилення колективної безпеки, що поєднує активну участь у НАТО з підтримкою розвитку європейських оборонних спроможностей. Ці держави виступають за прагматичний підхід до європейської безпеки, що фокусується на конкретних проєктах та ініціативах, які додають реальну цінність та уникають дублювання з НАТО. Нідерланди, зокрема, збільшили оборонний бюджет до 2% ВВП та активно розвивають спеціалізовані спроможності у сфері кібербезпеки, військової логістики та розвідки. Бельгія фокусується на розвитку безпілотних систем та захисті від хімічних, біологічних, радіологічних та ядерних загроз. Люксембург, попри обмежені збройні сили, робить значний внесок у розвиток космічних комунікацій, кіберзахисту та фінансування спільних оборонних проєктів. Країни Бенілюксу традиційно виступають адвокатами інституційного посилення СПБО та запровадження механізмів кваліфікованої більшості при прийнятті рішень у сфері безпеки та оборони [47].</w:t>
      </w:r>
    </w:p>
    <w:p w14:paraId="34C95C3D" w14:textId="77777777" w:rsidR="006533B3" w:rsidRPr="006533B3" w:rsidRDefault="006533B3" w:rsidP="006533B3">
      <w:pPr>
        <w:pStyle w:val="whitespace-normal"/>
        <w:spacing w:before="0" w:beforeAutospacing="0" w:after="0" w:afterAutospacing="0" w:line="360" w:lineRule="auto"/>
        <w:ind w:firstLine="709"/>
        <w:jc w:val="both"/>
        <w:rPr>
          <w:sz w:val="28"/>
          <w:szCs w:val="28"/>
        </w:rPr>
      </w:pPr>
      <w:r w:rsidRPr="006533B3">
        <w:rPr>
          <w:sz w:val="28"/>
          <w:szCs w:val="28"/>
        </w:rPr>
        <w:t xml:space="preserve">Диверсифікація підходів держав-членів ЄС до посилення колективної безпеки створює як виклики, так і можливості для формування ефективної </w:t>
      </w:r>
      <w:r w:rsidRPr="006533B3">
        <w:rPr>
          <w:sz w:val="28"/>
          <w:szCs w:val="28"/>
        </w:rPr>
        <w:lastRenderedPageBreak/>
        <w:t>безпекової політики Союзу. З одного боку, різноманітність пріоритетів та стратегічних культур ускладнює досягнення консенсусу щодо спільних ініціатив та розподілу ресурсів. З іншого боку, вона дозволяє формувати гнучкі коаліції для вирішення конкретних завдань та використовувати компаративні переваги різних держав-членів. Для подолання потенційних протиріч розвиваються механізми гнучкої інтеграції, зокрема, через активізацію постійного структурованого співробітництва (PESCO) та формування «коаліцій бажаючих» для реалізації специфічних проєктів [48].</w:t>
      </w:r>
    </w:p>
    <w:p w14:paraId="2BE458FE" w14:textId="77777777" w:rsidR="006533B3" w:rsidRPr="006533B3" w:rsidRDefault="006533B3" w:rsidP="006533B3">
      <w:pPr>
        <w:pStyle w:val="whitespace-normal"/>
        <w:spacing w:before="0" w:beforeAutospacing="0" w:after="0" w:afterAutospacing="0" w:line="360" w:lineRule="auto"/>
        <w:ind w:firstLine="709"/>
        <w:jc w:val="both"/>
        <w:rPr>
          <w:sz w:val="28"/>
          <w:szCs w:val="28"/>
        </w:rPr>
      </w:pPr>
      <w:r w:rsidRPr="006533B3">
        <w:rPr>
          <w:sz w:val="28"/>
          <w:szCs w:val="28"/>
        </w:rPr>
        <w:t>Різноманітність національних підходів до посилення колективної безпеки доповнюється регіональними форматами співпраці, що дозволяють групам держав-членів поглиблювати взаємодію у специфічних сферах. Ініціатива Тримор'я об'єднує 12 держав Центральної та Східної Європи для розвитку інфраструктурної зв'язності, енергетичної безпеки та військової мобільності. Північно-Балтійська вісімка (NB8) забезпечує координацію безпекової політики скандинавських та балтійських держав. Середземноморський діалог фокусується на міграційних викликах та регіональній стабільності. Ці формати не конкурують з загальноєвропейськими механізмами, а доповнюють їх, забезпечуючи більш глибоку координацію між державами зі спільними інтересами та викликами [49].</w:t>
      </w:r>
    </w:p>
    <w:p w14:paraId="7236D107" w14:textId="77777777" w:rsidR="006533B3" w:rsidRPr="006533B3" w:rsidRDefault="006533B3" w:rsidP="006533B3">
      <w:pPr>
        <w:pStyle w:val="whitespace-normal"/>
        <w:spacing w:before="0" w:beforeAutospacing="0" w:after="0" w:afterAutospacing="0" w:line="360" w:lineRule="auto"/>
        <w:ind w:firstLine="709"/>
        <w:jc w:val="both"/>
        <w:rPr>
          <w:sz w:val="28"/>
          <w:szCs w:val="28"/>
        </w:rPr>
      </w:pPr>
      <w:r w:rsidRPr="006533B3">
        <w:rPr>
          <w:sz w:val="28"/>
          <w:szCs w:val="28"/>
        </w:rPr>
        <w:t xml:space="preserve">Окремої уваги заслуговує зміна ролі Великої Британії в європейській архітектурі безпеки після Brexit. Попри вихід з ЄС, Лондон залишається ключовим актором європейської безпеки з потужними військовими спроможностями, включаючи ядерне стримування, глобальну проєкцію сили та розвинутий розвідувальний потенціал. Російська агресія проти України стимулювала прагматичну співпрацю між Великою Британією та ЄС у сфері безпеки, що реалізується через двосторонні угоди (зокрема, Lancaster House Treaties з Францією), регіональні формати (Північний оборонний формат, Спільні експедиційні сили) та ad hoc координацію щодо санкцій та військової підтримки України. Британський підхід до європейської безпеки після 2022 року характеризується акцентом на НАТО як ключовому механізмі колективної </w:t>
      </w:r>
      <w:r w:rsidRPr="006533B3">
        <w:rPr>
          <w:sz w:val="28"/>
          <w:szCs w:val="28"/>
        </w:rPr>
        <w:lastRenderedPageBreak/>
        <w:t>оборони та готовністю до прагматичної співпраці з ЄС у сферах, де така співпраця додає реальну цінність: санкції, кібербезпека, протидія гібридним загрозам [50].</w:t>
      </w:r>
    </w:p>
    <w:p w14:paraId="3BFDE1B2" w14:textId="77777777" w:rsidR="006533B3" w:rsidRDefault="006533B3" w:rsidP="006533B3">
      <w:pPr>
        <w:pStyle w:val="whitespace-normal"/>
        <w:spacing w:before="0" w:beforeAutospacing="0" w:after="0" w:afterAutospacing="0" w:line="360" w:lineRule="auto"/>
        <w:ind w:firstLine="709"/>
        <w:jc w:val="both"/>
        <w:rPr>
          <w:sz w:val="28"/>
          <w:szCs w:val="28"/>
        </w:rPr>
      </w:pPr>
      <w:r w:rsidRPr="006533B3">
        <w:rPr>
          <w:sz w:val="28"/>
          <w:szCs w:val="28"/>
        </w:rPr>
        <w:t>Аналіз диверсифікації підходів держав-членів ЄС до посилення колективної безпеки в умовах російської агресії свідчить про формування нового «європейського стратегічного консенсусу», що охоплює низку ключових елементів: визнання Росії як системної загрози європейській безпеці; необхідність суттєвого збільшення оборонних витрат та розвитку військових спроможностей; комплементарність НАТО та СПБО; важливість посилення стійкості до гібридних загроз; та необхідність розвитку європейської оборонної промислової бази. Водночас, зберігаються суттєві відмінності щодо оптимального рівня стратегічної автономії ЄС, пріоритизації загроз, ставлення до ядерного стримування та географічного фокусу безпекової політики. Забезпечення ефективності колективної безпеки ЄС в умовах збереження цієї диверсифікації потребує розвитку гнучких механізмів координації, що дозволяють узгоджувати національні підходи та формувати коаліції держав для вирішення конкретних безпекових завдань [51].</w:t>
      </w:r>
    </w:p>
    <w:p w14:paraId="1D729A1B" w14:textId="77777777" w:rsidR="00C1552A" w:rsidRPr="006533B3" w:rsidRDefault="00C1552A" w:rsidP="006533B3">
      <w:pPr>
        <w:pStyle w:val="whitespace-normal"/>
        <w:spacing w:before="0" w:beforeAutospacing="0" w:after="0" w:afterAutospacing="0" w:line="360" w:lineRule="auto"/>
        <w:ind w:firstLine="709"/>
        <w:jc w:val="both"/>
        <w:rPr>
          <w:sz w:val="28"/>
          <w:szCs w:val="28"/>
        </w:rPr>
      </w:pPr>
    </w:p>
    <w:p w14:paraId="15C82F93" w14:textId="77777777" w:rsidR="006533B3" w:rsidRPr="006533B3" w:rsidRDefault="006533B3" w:rsidP="00C1552A">
      <w:pPr>
        <w:pStyle w:val="2"/>
      </w:pPr>
      <w:bookmarkStart w:id="12" w:name="_Toc198089420"/>
      <w:r w:rsidRPr="006533B3">
        <w:t xml:space="preserve">3.2 </w:t>
      </w:r>
      <w:proofErr w:type="spellStart"/>
      <w:r w:rsidRPr="006533B3">
        <w:t>Перспективи</w:t>
      </w:r>
      <w:proofErr w:type="spellEnd"/>
      <w:r w:rsidRPr="006533B3">
        <w:t xml:space="preserve"> </w:t>
      </w:r>
      <w:proofErr w:type="spellStart"/>
      <w:r w:rsidRPr="006533B3">
        <w:t>розвитку</w:t>
      </w:r>
      <w:proofErr w:type="spellEnd"/>
      <w:r w:rsidRPr="006533B3">
        <w:t xml:space="preserve"> оборонного </w:t>
      </w:r>
      <w:proofErr w:type="spellStart"/>
      <w:r w:rsidRPr="006533B3">
        <w:t>потенціалу</w:t>
      </w:r>
      <w:proofErr w:type="spellEnd"/>
      <w:r w:rsidRPr="006533B3">
        <w:t xml:space="preserve"> ЄС та </w:t>
      </w:r>
      <w:proofErr w:type="spellStart"/>
      <w:r w:rsidRPr="006533B3">
        <w:t>трансформації</w:t>
      </w:r>
      <w:proofErr w:type="spellEnd"/>
      <w:r w:rsidRPr="006533B3">
        <w:t xml:space="preserve"> </w:t>
      </w:r>
      <w:proofErr w:type="spellStart"/>
      <w:r w:rsidRPr="006533B3">
        <w:t>безпекового</w:t>
      </w:r>
      <w:proofErr w:type="spellEnd"/>
      <w:r w:rsidRPr="006533B3">
        <w:t xml:space="preserve"> </w:t>
      </w:r>
      <w:proofErr w:type="spellStart"/>
      <w:r w:rsidRPr="006533B3">
        <w:t>середовища</w:t>
      </w:r>
      <w:bookmarkEnd w:id="12"/>
      <w:proofErr w:type="spellEnd"/>
    </w:p>
    <w:p w14:paraId="3BD5DFF0" w14:textId="77777777" w:rsidR="006533B3" w:rsidRPr="006533B3" w:rsidRDefault="006533B3" w:rsidP="006533B3">
      <w:pPr>
        <w:pStyle w:val="whitespace-normal"/>
        <w:spacing w:before="0" w:beforeAutospacing="0" w:after="0" w:afterAutospacing="0" w:line="360" w:lineRule="auto"/>
        <w:ind w:firstLine="709"/>
        <w:jc w:val="both"/>
        <w:rPr>
          <w:sz w:val="28"/>
          <w:szCs w:val="28"/>
        </w:rPr>
      </w:pPr>
      <w:r w:rsidRPr="006533B3">
        <w:rPr>
          <w:sz w:val="28"/>
          <w:szCs w:val="28"/>
        </w:rPr>
        <w:t xml:space="preserve">Російсько-українська війна створила вікно можливостей для фундаментальної трансформації оборонного потенціалу Європейського Союзу та формування нової архітектури європейської безпеки. Безпрецедентний рівень єдності держав-членів у протидії російській агресії, суттєве збільшення оборонних бюджетів та активізація військово-технічного співробітництва закладають основу для якісного посилення військових спроможностей ЄС у середньо- та довгостроковій перспективі. Водночас, реалізація амбітних планів розвитку оборонного потенціалу стикається з численними викликами: фрагментація європейської оборонної промисловості, обмежені виробничі </w:t>
      </w:r>
      <w:r w:rsidRPr="006533B3">
        <w:rPr>
          <w:sz w:val="28"/>
          <w:szCs w:val="28"/>
        </w:rPr>
        <w:lastRenderedPageBreak/>
        <w:t>потужності, технологічне відставання в окремих сферах та інституційна складність процесів прийняття рішень. Аналіз перспектив розвитку оборонного потенціалу ЄС та трансформації безпекового середовища має фундаментальне значення для розуміння майбутньої ролі Союзу в європейській та глобальній архітектурі безпеки [52].</w:t>
      </w:r>
    </w:p>
    <w:p w14:paraId="16FCC33F" w14:textId="77777777" w:rsidR="006533B3" w:rsidRPr="006533B3" w:rsidRDefault="006533B3" w:rsidP="006533B3">
      <w:pPr>
        <w:pStyle w:val="whitespace-normal"/>
        <w:spacing w:before="0" w:beforeAutospacing="0" w:after="0" w:afterAutospacing="0" w:line="360" w:lineRule="auto"/>
        <w:ind w:firstLine="709"/>
        <w:jc w:val="both"/>
        <w:rPr>
          <w:sz w:val="28"/>
          <w:szCs w:val="28"/>
        </w:rPr>
      </w:pPr>
      <w:r w:rsidRPr="006533B3">
        <w:rPr>
          <w:sz w:val="28"/>
          <w:szCs w:val="28"/>
        </w:rPr>
        <w:t>Ключовим напрямком розвитку оборонного потенціалу ЄС є подолання критичних прогалин у військових спроможностях, виявлених під час російсько-української війни. Аналіз бойових дій продемонстрував особливу важливість систем протиповітряної та протиракетної оборони, високоточних ракетних систем великої дальності, засобів радіоелектронної боротьби, безпілотних систем різного призначення та кіберзахисту. Європейська Комісія та Європейське оборонне агентство визначили пріоритетні напрямки розвитку спроможностей на період до 2030 року, що включають: створення інтегрованої європейської системи протиповітряної оборони; розробку європейського танка нового покоління та бойової машини піхоти; розвиток європейської програми винищувача шостого покоління (Future Combat Air System, FCAS); розробку безпілотних систем різного класу; створення європейської системи безпечних комунікацій на базі квантових технологій; та розвиток космічних спроможностей для розвідки, спостереження та зв'язку [53].</w:t>
      </w:r>
    </w:p>
    <w:p w14:paraId="79DAFF2E" w14:textId="77777777" w:rsidR="006533B3" w:rsidRPr="006533B3" w:rsidRDefault="006533B3" w:rsidP="006533B3">
      <w:pPr>
        <w:pStyle w:val="whitespace-normal"/>
        <w:spacing w:before="0" w:beforeAutospacing="0" w:after="0" w:afterAutospacing="0" w:line="360" w:lineRule="auto"/>
        <w:ind w:firstLine="709"/>
        <w:jc w:val="both"/>
        <w:rPr>
          <w:sz w:val="28"/>
          <w:szCs w:val="28"/>
        </w:rPr>
      </w:pPr>
      <w:r w:rsidRPr="006533B3">
        <w:rPr>
          <w:sz w:val="28"/>
          <w:szCs w:val="28"/>
        </w:rPr>
        <w:t xml:space="preserve">Особливої актуальності набуває розвиток стратегічних військово-транспортних спроможностей та військової мобільності, що має ключове значення для швидкого перекидання сил у кризових ситуаціях. Проєкт «Військова мобільність» у рамках PESCO передбачає гармонізацію прикордонних процедур, модернізацію транспортної інфраструктури (мости, дороги, залізниці) та створення логістичних хабів для забезпечення безперешкодного переміщення військ та техніки територією ЄС. Паралельно розвивається ініціатива European Strategic Airlift, спрямована на розширення можливостей повітряного транспортування військ та вантажів через спільне придбання та використання транспортних літаків Airbus A400M. Розвиток морських транспортних спроможностей реалізується через проєкт Maritime </w:t>
      </w:r>
      <w:r w:rsidRPr="006533B3">
        <w:rPr>
          <w:sz w:val="28"/>
          <w:szCs w:val="28"/>
        </w:rPr>
        <w:lastRenderedPageBreak/>
        <w:t>Prepositioning, що передбачає створення мережі стратегічних морських баз та передового складування військового обладнання та запасів [54].</w:t>
      </w:r>
    </w:p>
    <w:p w14:paraId="617C89DC" w14:textId="3956AE74" w:rsidR="006533B3" w:rsidRDefault="006533B3" w:rsidP="006533B3">
      <w:pPr>
        <w:pStyle w:val="whitespace-normal"/>
        <w:spacing w:before="0" w:beforeAutospacing="0" w:after="0" w:afterAutospacing="0" w:line="360" w:lineRule="auto"/>
        <w:ind w:firstLine="709"/>
        <w:jc w:val="both"/>
        <w:rPr>
          <w:sz w:val="28"/>
          <w:szCs w:val="28"/>
        </w:rPr>
      </w:pPr>
      <w:r w:rsidRPr="006533B3">
        <w:rPr>
          <w:sz w:val="28"/>
          <w:szCs w:val="28"/>
        </w:rPr>
        <w:t>Довгострокові перспективи розвитку оборонного потенціалу ЄС значною мірою залежать від здатності подолати фрагментацію європейської оборонної промисловості та забезпечити технологічне лідерство в ключових сферах. Європейська Комісія оцінює щорічні втрати від фрагментації оборонного ринку ЄС у 25-100 млрд євро через дублювання розробок, відсутність економії від масштабу та неефективну алокацію ресурсів. Для подолання цих проблем розвиваються механізми консолідації промислової бази, включаючи транскордонні злиття та поглинання, формування європейських консорціумів та гармонізацію технічних стандартів. Стратегія європейської оборонної промисловості, представлена Комісією в травні 2023 року, передбачає комплексний підхід до посилення конкурентоспроможності та інноваційності сектору через поєднання регуляторних інструментів, фінансових стимулів та координації спільних закупівель [5].</w:t>
      </w:r>
    </w:p>
    <w:p w14:paraId="3297D2D6" w14:textId="77777777" w:rsidR="00C1552A" w:rsidRPr="006533B3" w:rsidRDefault="00C1552A" w:rsidP="00C1552A">
      <w:pPr>
        <w:pStyle w:val="whitespace-normal"/>
        <w:spacing w:before="0" w:beforeAutospacing="0" w:after="0" w:afterAutospacing="0" w:line="360" w:lineRule="auto"/>
        <w:ind w:firstLine="709"/>
        <w:jc w:val="center"/>
        <w:rPr>
          <w:sz w:val="28"/>
          <w:szCs w:val="28"/>
        </w:rPr>
      </w:pPr>
    </w:p>
    <w:p w14:paraId="01C1AA65" w14:textId="6A6115F5" w:rsidR="006533B3" w:rsidRPr="006533B3" w:rsidRDefault="006533B3" w:rsidP="00C1552A">
      <w:pPr>
        <w:pStyle w:val="whitespace-normal"/>
        <w:spacing w:before="0" w:beforeAutospacing="0" w:after="0" w:afterAutospacing="0" w:line="360" w:lineRule="auto"/>
        <w:ind w:firstLine="709"/>
        <w:jc w:val="center"/>
        <w:rPr>
          <w:sz w:val="28"/>
          <w:szCs w:val="28"/>
        </w:rPr>
      </w:pPr>
      <w:r w:rsidRPr="006533B3">
        <w:rPr>
          <w:sz w:val="28"/>
          <w:szCs w:val="28"/>
        </w:rPr>
        <w:t>Таблиця 3.2.</w:t>
      </w:r>
      <w:r w:rsidR="00C1552A">
        <w:rPr>
          <w:sz w:val="28"/>
          <w:szCs w:val="28"/>
        </w:rPr>
        <w:t xml:space="preserve"> –</w:t>
      </w:r>
      <w:r w:rsidRPr="006533B3">
        <w:rPr>
          <w:sz w:val="28"/>
          <w:szCs w:val="28"/>
        </w:rPr>
        <w:t xml:space="preserve"> Пріоритетні проєкти розвитку європейських оборонних спроможностей до 2030 року</w:t>
      </w:r>
    </w:p>
    <w:tbl>
      <w:tblPr>
        <w:tblStyle w:val="a7"/>
        <w:tblW w:w="0" w:type="auto"/>
        <w:tblLook w:val="04A0" w:firstRow="1" w:lastRow="0" w:firstColumn="1" w:lastColumn="0" w:noHBand="0" w:noVBand="1"/>
      </w:tblPr>
      <w:tblGrid>
        <w:gridCol w:w="1779"/>
        <w:gridCol w:w="2344"/>
        <w:gridCol w:w="1207"/>
        <w:gridCol w:w="1326"/>
        <w:gridCol w:w="2972"/>
      </w:tblGrid>
      <w:tr w:rsidR="006533B3" w:rsidRPr="00C1552A" w14:paraId="45490801" w14:textId="77777777" w:rsidTr="00C1552A">
        <w:tc>
          <w:tcPr>
            <w:tcW w:w="0" w:type="auto"/>
            <w:hideMark/>
          </w:tcPr>
          <w:p w14:paraId="7DB2A6A0" w14:textId="77777777" w:rsidR="006533B3" w:rsidRPr="00C1552A" w:rsidRDefault="006533B3" w:rsidP="00C1552A">
            <w:pPr>
              <w:jc w:val="left"/>
              <w:rPr>
                <w:sz w:val="24"/>
                <w:szCs w:val="24"/>
              </w:rPr>
            </w:pPr>
            <w:proofErr w:type="spellStart"/>
            <w:r w:rsidRPr="00C1552A">
              <w:rPr>
                <w:sz w:val="24"/>
                <w:szCs w:val="24"/>
              </w:rPr>
              <w:t>Проєкт</w:t>
            </w:r>
            <w:proofErr w:type="spellEnd"/>
          </w:p>
        </w:tc>
        <w:tc>
          <w:tcPr>
            <w:tcW w:w="0" w:type="auto"/>
            <w:hideMark/>
          </w:tcPr>
          <w:p w14:paraId="49AF4256" w14:textId="77777777" w:rsidR="006533B3" w:rsidRPr="00C1552A" w:rsidRDefault="006533B3" w:rsidP="00C1552A">
            <w:pPr>
              <w:jc w:val="left"/>
              <w:rPr>
                <w:sz w:val="24"/>
                <w:szCs w:val="24"/>
              </w:rPr>
            </w:pPr>
            <w:proofErr w:type="spellStart"/>
            <w:r w:rsidRPr="00C1552A">
              <w:rPr>
                <w:sz w:val="24"/>
                <w:szCs w:val="24"/>
              </w:rPr>
              <w:t>Учасники</w:t>
            </w:r>
            <w:proofErr w:type="spellEnd"/>
          </w:p>
        </w:tc>
        <w:tc>
          <w:tcPr>
            <w:tcW w:w="0" w:type="auto"/>
            <w:hideMark/>
          </w:tcPr>
          <w:p w14:paraId="6390B189" w14:textId="77777777" w:rsidR="006533B3" w:rsidRPr="00C1552A" w:rsidRDefault="006533B3" w:rsidP="00C1552A">
            <w:pPr>
              <w:jc w:val="left"/>
              <w:rPr>
                <w:sz w:val="24"/>
                <w:szCs w:val="24"/>
              </w:rPr>
            </w:pPr>
            <w:r w:rsidRPr="00C1552A">
              <w:rPr>
                <w:sz w:val="24"/>
                <w:szCs w:val="24"/>
              </w:rPr>
              <w:t xml:space="preserve">Бюджет (млрд </w:t>
            </w:r>
            <w:proofErr w:type="spellStart"/>
            <w:r w:rsidRPr="00C1552A">
              <w:rPr>
                <w:sz w:val="24"/>
                <w:szCs w:val="24"/>
              </w:rPr>
              <w:t>євро</w:t>
            </w:r>
            <w:proofErr w:type="spellEnd"/>
            <w:r w:rsidRPr="00C1552A">
              <w:rPr>
                <w:sz w:val="24"/>
                <w:szCs w:val="24"/>
              </w:rPr>
              <w:t>)</w:t>
            </w:r>
          </w:p>
        </w:tc>
        <w:tc>
          <w:tcPr>
            <w:tcW w:w="0" w:type="auto"/>
            <w:hideMark/>
          </w:tcPr>
          <w:p w14:paraId="40F7BBDF" w14:textId="77777777" w:rsidR="006533B3" w:rsidRPr="00C1552A" w:rsidRDefault="006533B3" w:rsidP="00C1552A">
            <w:pPr>
              <w:jc w:val="left"/>
              <w:rPr>
                <w:sz w:val="24"/>
                <w:szCs w:val="24"/>
              </w:rPr>
            </w:pPr>
            <w:proofErr w:type="spellStart"/>
            <w:r w:rsidRPr="00C1552A">
              <w:rPr>
                <w:sz w:val="24"/>
                <w:szCs w:val="24"/>
              </w:rPr>
              <w:t>Терміни</w:t>
            </w:r>
            <w:proofErr w:type="spellEnd"/>
            <w:r w:rsidRPr="00C1552A">
              <w:rPr>
                <w:sz w:val="24"/>
                <w:szCs w:val="24"/>
              </w:rPr>
              <w:t xml:space="preserve"> </w:t>
            </w:r>
            <w:proofErr w:type="spellStart"/>
            <w:r w:rsidRPr="00C1552A">
              <w:rPr>
                <w:sz w:val="24"/>
                <w:szCs w:val="24"/>
              </w:rPr>
              <w:t>реалізації</w:t>
            </w:r>
            <w:proofErr w:type="spellEnd"/>
          </w:p>
        </w:tc>
        <w:tc>
          <w:tcPr>
            <w:tcW w:w="0" w:type="auto"/>
            <w:hideMark/>
          </w:tcPr>
          <w:p w14:paraId="7AEF3173" w14:textId="77777777" w:rsidR="006533B3" w:rsidRPr="00C1552A" w:rsidRDefault="006533B3" w:rsidP="00C1552A">
            <w:pPr>
              <w:jc w:val="left"/>
              <w:rPr>
                <w:sz w:val="24"/>
                <w:szCs w:val="24"/>
              </w:rPr>
            </w:pPr>
            <w:proofErr w:type="spellStart"/>
            <w:r w:rsidRPr="00C1552A">
              <w:rPr>
                <w:sz w:val="24"/>
                <w:szCs w:val="24"/>
              </w:rPr>
              <w:t>Основні</w:t>
            </w:r>
            <w:proofErr w:type="spellEnd"/>
            <w:r w:rsidRPr="00C1552A">
              <w:rPr>
                <w:sz w:val="24"/>
                <w:szCs w:val="24"/>
              </w:rPr>
              <w:t xml:space="preserve"> характеристики</w:t>
            </w:r>
          </w:p>
        </w:tc>
      </w:tr>
      <w:tr w:rsidR="006533B3" w:rsidRPr="00C1552A" w14:paraId="359A16C0" w14:textId="77777777" w:rsidTr="00C1552A">
        <w:tc>
          <w:tcPr>
            <w:tcW w:w="0" w:type="auto"/>
            <w:hideMark/>
          </w:tcPr>
          <w:p w14:paraId="1DC4F88A" w14:textId="77777777" w:rsidR="006533B3" w:rsidRPr="00CE22B8" w:rsidRDefault="006533B3" w:rsidP="00C1552A">
            <w:pPr>
              <w:jc w:val="left"/>
              <w:rPr>
                <w:sz w:val="24"/>
                <w:szCs w:val="24"/>
                <w:lang w:val="en-US"/>
              </w:rPr>
            </w:pPr>
            <w:r w:rsidRPr="00CE22B8">
              <w:rPr>
                <w:sz w:val="24"/>
                <w:szCs w:val="24"/>
                <w:lang w:val="en-US"/>
              </w:rPr>
              <w:t>European Sky Shield Initiative (ESSI)</w:t>
            </w:r>
          </w:p>
        </w:tc>
        <w:tc>
          <w:tcPr>
            <w:tcW w:w="0" w:type="auto"/>
            <w:hideMark/>
          </w:tcPr>
          <w:p w14:paraId="287F885F" w14:textId="77777777" w:rsidR="006533B3" w:rsidRPr="00C1552A" w:rsidRDefault="006533B3" w:rsidP="00C1552A">
            <w:pPr>
              <w:jc w:val="left"/>
              <w:rPr>
                <w:sz w:val="24"/>
                <w:szCs w:val="24"/>
              </w:rPr>
            </w:pPr>
            <w:r w:rsidRPr="00C1552A">
              <w:rPr>
                <w:sz w:val="24"/>
                <w:szCs w:val="24"/>
              </w:rPr>
              <w:t xml:space="preserve">19 </w:t>
            </w:r>
            <w:proofErr w:type="spellStart"/>
            <w:r w:rsidRPr="00C1552A">
              <w:rPr>
                <w:sz w:val="24"/>
                <w:szCs w:val="24"/>
              </w:rPr>
              <w:t>європейських</w:t>
            </w:r>
            <w:proofErr w:type="spellEnd"/>
            <w:r w:rsidRPr="00C1552A">
              <w:rPr>
                <w:sz w:val="24"/>
                <w:szCs w:val="24"/>
              </w:rPr>
              <w:t xml:space="preserve"> </w:t>
            </w:r>
            <w:proofErr w:type="spellStart"/>
            <w:r w:rsidRPr="00C1552A">
              <w:rPr>
                <w:sz w:val="24"/>
                <w:szCs w:val="24"/>
              </w:rPr>
              <w:t>країн</w:t>
            </w:r>
            <w:proofErr w:type="spellEnd"/>
            <w:r w:rsidRPr="00C1552A">
              <w:rPr>
                <w:sz w:val="24"/>
                <w:szCs w:val="24"/>
              </w:rPr>
              <w:t xml:space="preserve"> </w:t>
            </w:r>
            <w:proofErr w:type="spellStart"/>
            <w:r w:rsidRPr="00C1552A">
              <w:rPr>
                <w:sz w:val="24"/>
                <w:szCs w:val="24"/>
              </w:rPr>
              <w:t>під</w:t>
            </w:r>
            <w:proofErr w:type="spellEnd"/>
            <w:r w:rsidRPr="00C1552A">
              <w:rPr>
                <w:sz w:val="24"/>
                <w:szCs w:val="24"/>
              </w:rPr>
              <w:t xml:space="preserve"> </w:t>
            </w:r>
            <w:proofErr w:type="spellStart"/>
            <w:r w:rsidRPr="00C1552A">
              <w:rPr>
                <w:sz w:val="24"/>
                <w:szCs w:val="24"/>
              </w:rPr>
              <w:t>керівництвом</w:t>
            </w:r>
            <w:proofErr w:type="spellEnd"/>
            <w:r w:rsidRPr="00C1552A">
              <w:rPr>
                <w:sz w:val="24"/>
                <w:szCs w:val="24"/>
              </w:rPr>
              <w:t xml:space="preserve"> </w:t>
            </w:r>
            <w:proofErr w:type="spellStart"/>
            <w:r w:rsidRPr="00C1552A">
              <w:rPr>
                <w:sz w:val="24"/>
                <w:szCs w:val="24"/>
              </w:rPr>
              <w:t>Німеччини</w:t>
            </w:r>
            <w:proofErr w:type="spellEnd"/>
          </w:p>
        </w:tc>
        <w:tc>
          <w:tcPr>
            <w:tcW w:w="0" w:type="auto"/>
            <w:hideMark/>
          </w:tcPr>
          <w:p w14:paraId="3F9F6DDE" w14:textId="77777777" w:rsidR="006533B3" w:rsidRPr="00C1552A" w:rsidRDefault="006533B3" w:rsidP="00C1552A">
            <w:pPr>
              <w:jc w:val="left"/>
              <w:rPr>
                <w:sz w:val="24"/>
                <w:szCs w:val="24"/>
              </w:rPr>
            </w:pPr>
            <w:r w:rsidRPr="00C1552A">
              <w:rPr>
                <w:sz w:val="24"/>
                <w:szCs w:val="24"/>
              </w:rPr>
              <w:t>&gt;10</w:t>
            </w:r>
          </w:p>
        </w:tc>
        <w:tc>
          <w:tcPr>
            <w:tcW w:w="0" w:type="auto"/>
            <w:hideMark/>
          </w:tcPr>
          <w:p w14:paraId="6246B0D1" w14:textId="77777777" w:rsidR="006533B3" w:rsidRPr="00C1552A" w:rsidRDefault="006533B3" w:rsidP="00C1552A">
            <w:pPr>
              <w:jc w:val="left"/>
              <w:rPr>
                <w:sz w:val="24"/>
                <w:szCs w:val="24"/>
              </w:rPr>
            </w:pPr>
            <w:r w:rsidRPr="00C1552A">
              <w:rPr>
                <w:sz w:val="24"/>
                <w:szCs w:val="24"/>
              </w:rPr>
              <w:t>2022-2030</w:t>
            </w:r>
          </w:p>
        </w:tc>
        <w:tc>
          <w:tcPr>
            <w:tcW w:w="0" w:type="auto"/>
            <w:hideMark/>
          </w:tcPr>
          <w:p w14:paraId="4CFA3397" w14:textId="77777777" w:rsidR="006533B3" w:rsidRPr="00C1552A" w:rsidRDefault="006533B3" w:rsidP="00C1552A">
            <w:pPr>
              <w:jc w:val="left"/>
              <w:rPr>
                <w:sz w:val="24"/>
                <w:szCs w:val="24"/>
              </w:rPr>
            </w:pPr>
            <w:proofErr w:type="spellStart"/>
            <w:r w:rsidRPr="00C1552A">
              <w:rPr>
                <w:sz w:val="24"/>
                <w:szCs w:val="24"/>
              </w:rPr>
              <w:t>Інтегрована</w:t>
            </w:r>
            <w:proofErr w:type="spellEnd"/>
            <w:r w:rsidRPr="00C1552A">
              <w:rPr>
                <w:sz w:val="24"/>
                <w:szCs w:val="24"/>
              </w:rPr>
              <w:t xml:space="preserve"> </w:t>
            </w:r>
            <w:proofErr w:type="spellStart"/>
            <w:r w:rsidRPr="00C1552A">
              <w:rPr>
                <w:sz w:val="24"/>
                <w:szCs w:val="24"/>
              </w:rPr>
              <w:t>багаторівнева</w:t>
            </w:r>
            <w:proofErr w:type="spellEnd"/>
            <w:r w:rsidRPr="00C1552A">
              <w:rPr>
                <w:sz w:val="24"/>
                <w:szCs w:val="24"/>
              </w:rPr>
              <w:t xml:space="preserve"> система ППО з </w:t>
            </w:r>
            <w:proofErr w:type="spellStart"/>
            <w:r w:rsidRPr="00C1552A">
              <w:rPr>
                <w:sz w:val="24"/>
                <w:szCs w:val="24"/>
              </w:rPr>
              <w:t>використанням</w:t>
            </w:r>
            <w:proofErr w:type="spellEnd"/>
            <w:r w:rsidRPr="00C1552A">
              <w:rPr>
                <w:sz w:val="24"/>
                <w:szCs w:val="24"/>
              </w:rPr>
              <w:t xml:space="preserve"> систем Patriot, IRIS-T, Arrow-3</w:t>
            </w:r>
          </w:p>
        </w:tc>
      </w:tr>
      <w:tr w:rsidR="006533B3" w:rsidRPr="00C1552A" w14:paraId="5C7EBE08" w14:textId="77777777" w:rsidTr="00C1552A">
        <w:tc>
          <w:tcPr>
            <w:tcW w:w="0" w:type="auto"/>
            <w:hideMark/>
          </w:tcPr>
          <w:p w14:paraId="736796FE" w14:textId="77777777" w:rsidR="006533B3" w:rsidRPr="00CE22B8" w:rsidRDefault="006533B3" w:rsidP="00C1552A">
            <w:pPr>
              <w:jc w:val="left"/>
              <w:rPr>
                <w:sz w:val="24"/>
                <w:szCs w:val="24"/>
                <w:lang w:val="en-US"/>
              </w:rPr>
            </w:pPr>
            <w:r w:rsidRPr="00CE22B8">
              <w:rPr>
                <w:sz w:val="24"/>
                <w:szCs w:val="24"/>
                <w:lang w:val="en-US"/>
              </w:rPr>
              <w:t>Future Combat Air System (FCAS)</w:t>
            </w:r>
          </w:p>
        </w:tc>
        <w:tc>
          <w:tcPr>
            <w:tcW w:w="0" w:type="auto"/>
            <w:hideMark/>
          </w:tcPr>
          <w:p w14:paraId="681886E8" w14:textId="77777777" w:rsidR="006533B3" w:rsidRPr="00C1552A" w:rsidRDefault="006533B3" w:rsidP="00C1552A">
            <w:pPr>
              <w:jc w:val="left"/>
              <w:rPr>
                <w:sz w:val="24"/>
                <w:szCs w:val="24"/>
              </w:rPr>
            </w:pPr>
            <w:proofErr w:type="spellStart"/>
            <w:r w:rsidRPr="00C1552A">
              <w:rPr>
                <w:sz w:val="24"/>
                <w:szCs w:val="24"/>
              </w:rPr>
              <w:t>Франція</w:t>
            </w:r>
            <w:proofErr w:type="spellEnd"/>
            <w:r w:rsidRPr="00C1552A">
              <w:rPr>
                <w:sz w:val="24"/>
                <w:szCs w:val="24"/>
              </w:rPr>
              <w:t xml:space="preserve">, </w:t>
            </w:r>
            <w:proofErr w:type="spellStart"/>
            <w:r w:rsidRPr="00C1552A">
              <w:rPr>
                <w:sz w:val="24"/>
                <w:szCs w:val="24"/>
              </w:rPr>
              <w:t>Німеччина</w:t>
            </w:r>
            <w:proofErr w:type="spellEnd"/>
            <w:r w:rsidRPr="00C1552A">
              <w:rPr>
                <w:sz w:val="24"/>
                <w:szCs w:val="24"/>
              </w:rPr>
              <w:t xml:space="preserve">, </w:t>
            </w:r>
            <w:proofErr w:type="spellStart"/>
            <w:r w:rsidRPr="00C1552A">
              <w:rPr>
                <w:sz w:val="24"/>
                <w:szCs w:val="24"/>
              </w:rPr>
              <w:t>Іспанія</w:t>
            </w:r>
            <w:proofErr w:type="spellEnd"/>
          </w:p>
        </w:tc>
        <w:tc>
          <w:tcPr>
            <w:tcW w:w="0" w:type="auto"/>
            <w:hideMark/>
          </w:tcPr>
          <w:p w14:paraId="0FFC5D0F" w14:textId="77777777" w:rsidR="006533B3" w:rsidRPr="00C1552A" w:rsidRDefault="006533B3" w:rsidP="00C1552A">
            <w:pPr>
              <w:jc w:val="left"/>
              <w:rPr>
                <w:sz w:val="24"/>
                <w:szCs w:val="24"/>
              </w:rPr>
            </w:pPr>
            <w:r w:rsidRPr="00C1552A">
              <w:rPr>
                <w:sz w:val="24"/>
                <w:szCs w:val="24"/>
              </w:rPr>
              <w:t>&gt;100</w:t>
            </w:r>
          </w:p>
        </w:tc>
        <w:tc>
          <w:tcPr>
            <w:tcW w:w="0" w:type="auto"/>
            <w:hideMark/>
          </w:tcPr>
          <w:p w14:paraId="5F8AB5B4" w14:textId="77777777" w:rsidR="006533B3" w:rsidRPr="00C1552A" w:rsidRDefault="006533B3" w:rsidP="00C1552A">
            <w:pPr>
              <w:jc w:val="left"/>
              <w:rPr>
                <w:sz w:val="24"/>
                <w:szCs w:val="24"/>
              </w:rPr>
            </w:pPr>
            <w:r w:rsidRPr="00C1552A">
              <w:rPr>
                <w:sz w:val="24"/>
                <w:szCs w:val="24"/>
              </w:rPr>
              <w:t>2019-2040</w:t>
            </w:r>
          </w:p>
        </w:tc>
        <w:tc>
          <w:tcPr>
            <w:tcW w:w="0" w:type="auto"/>
            <w:hideMark/>
          </w:tcPr>
          <w:p w14:paraId="6769AF80" w14:textId="77777777" w:rsidR="006533B3" w:rsidRPr="00C1552A" w:rsidRDefault="006533B3" w:rsidP="00C1552A">
            <w:pPr>
              <w:jc w:val="left"/>
              <w:rPr>
                <w:sz w:val="24"/>
                <w:szCs w:val="24"/>
              </w:rPr>
            </w:pPr>
            <w:proofErr w:type="spellStart"/>
            <w:r w:rsidRPr="00C1552A">
              <w:rPr>
                <w:sz w:val="24"/>
                <w:szCs w:val="24"/>
              </w:rPr>
              <w:t>Винищувач</w:t>
            </w:r>
            <w:proofErr w:type="spellEnd"/>
            <w:r w:rsidRPr="00C1552A">
              <w:rPr>
                <w:sz w:val="24"/>
                <w:szCs w:val="24"/>
              </w:rPr>
              <w:t xml:space="preserve"> 6-го </w:t>
            </w:r>
            <w:proofErr w:type="spellStart"/>
            <w:r w:rsidRPr="00C1552A">
              <w:rPr>
                <w:sz w:val="24"/>
                <w:szCs w:val="24"/>
              </w:rPr>
              <w:t>покоління</w:t>
            </w:r>
            <w:proofErr w:type="spellEnd"/>
            <w:r w:rsidRPr="00C1552A">
              <w:rPr>
                <w:sz w:val="24"/>
                <w:szCs w:val="24"/>
              </w:rPr>
              <w:t xml:space="preserve">, </w:t>
            </w:r>
            <w:proofErr w:type="spellStart"/>
            <w:r w:rsidRPr="00C1552A">
              <w:rPr>
                <w:sz w:val="24"/>
                <w:szCs w:val="24"/>
              </w:rPr>
              <w:t>бойові</w:t>
            </w:r>
            <w:proofErr w:type="spellEnd"/>
            <w:r w:rsidRPr="00C1552A">
              <w:rPr>
                <w:sz w:val="24"/>
                <w:szCs w:val="24"/>
              </w:rPr>
              <w:t xml:space="preserve"> </w:t>
            </w:r>
            <w:proofErr w:type="spellStart"/>
            <w:r w:rsidRPr="00C1552A">
              <w:rPr>
                <w:sz w:val="24"/>
                <w:szCs w:val="24"/>
              </w:rPr>
              <w:t>дрони</w:t>
            </w:r>
            <w:proofErr w:type="spellEnd"/>
            <w:r w:rsidRPr="00C1552A">
              <w:rPr>
                <w:sz w:val="24"/>
                <w:szCs w:val="24"/>
              </w:rPr>
              <w:t xml:space="preserve">, </w:t>
            </w:r>
            <w:proofErr w:type="spellStart"/>
            <w:r w:rsidRPr="00C1552A">
              <w:rPr>
                <w:sz w:val="24"/>
                <w:szCs w:val="24"/>
              </w:rPr>
              <w:t>хмарна</w:t>
            </w:r>
            <w:proofErr w:type="spellEnd"/>
            <w:r w:rsidRPr="00C1552A">
              <w:rPr>
                <w:sz w:val="24"/>
                <w:szCs w:val="24"/>
              </w:rPr>
              <w:t xml:space="preserve"> </w:t>
            </w:r>
            <w:proofErr w:type="spellStart"/>
            <w:r w:rsidRPr="00C1552A">
              <w:rPr>
                <w:sz w:val="24"/>
                <w:szCs w:val="24"/>
              </w:rPr>
              <w:t>бойова</w:t>
            </w:r>
            <w:proofErr w:type="spellEnd"/>
            <w:r w:rsidRPr="00C1552A">
              <w:rPr>
                <w:sz w:val="24"/>
                <w:szCs w:val="24"/>
              </w:rPr>
              <w:t xml:space="preserve"> система, </w:t>
            </w:r>
            <w:proofErr w:type="spellStart"/>
            <w:r w:rsidRPr="00C1552A">
              <w:rPr>
                <w:sz w:val="24"/>
                <w:szCs w:val="24"/>
              </w:rPr>
              <w:t>розумні</w:t>
            </w:r>
            <w:proofErr w:type="spellEnd"/>
            <w:r w:rsidRPr="00C1552A">
              <w:rPr>
                <w:sz w:val="24"/>
                <w:szCs w:val="24"/>
              </w:rPr>
              <w:t xml:space="preserve"> </w:t>
            </w:r>
            <w:proofErr w:type="spellStart"/>
            <w:r w:rsidRPr="00C1552A">
              <w:rPr>
                <w:sz w:val="24"/>
                <w:szCs w:val="24"/>
              </w:rPr>
              <w:t>ракети</w:t>
            </w:r>
            <w:proofErr w:type="spellEnd"/>
          </w:p>
        </w:tc>
      </w:tr>
      <w:tr w:rsidR="006533B3" w:rsidRPr="00C1552A" w14:paraId="2367D526" w14:textId="77777777" w:rsidTr="00C1552A">
        <w:tc>
          <w:tcPr>
            <w:tcW w:w="0" w:type="auto"/>
            <w:hideMark/>
          </w:tcPr>
          <w:p w14:paraId="054D0E67" w14:textId="77777777" w:rsidR="006533B3" w:rsidRPr="00CE22B8" w:rsidRDefault="006533B3" w:rsidP="00C1552A">
            <w:pPr>
              <w:jc w:val="left"/>
              <w:rPr>
                <w:sz w:val="24"/>
                <w:szCs w:val="24"/>
                <w:lang w:val="en-US"/>
              </w:rPr>
            </w:pPr>
            <w:r w:rsidRPr="00CE22B8">
              <w:rPr>
                <w:sz w:val="24"/>
                <w:szCs w:val="24"/>
                <w:lang w:val="en-US"/>
              </w:rPr>
              <w:t>Main Ground Combat System (MGCS)</w:t>
            </w:r>
          </w:p>
        </w:tc>
        <w:tc>
          <w:tcPr>
            <w:tcW w:w="0" w:type="auto"/>
            <w:hideMark/>
          </w:tcPr>
          <w:p w14:paraId="782E428E" w14:textId="77777777" w:rsidR="006533B3" w:rsidRPr="00C1552A" w:rsidRDefault="006533B3" w:rsidP="00C1552A">
            <w:pPr>
              <w:jc w:val="left"/>
              <w:rPr>
                <w:sz w:val="24"/>
                <w:szCs w:val="24"/>
              </w:rPr>
            </w:pPr>
            <w:proofErr w:type="spellStart"/>
            <w:r w:rsidRPr="00C1552A">
              <w:rPr>
                <w:sz w:val="24"/>
                <w:szCs w:val="24"/>
              </w:rPr>
              <w:t>Франція</w:t>
            </w:r>
            <w:proofErr w:type="spellEnd"/>
            <w:r w:rsidRPr="00C1552A">
              <w:rPr>
                <w:sz w:val="24"/>
                <w:szCs w:val="24"/>
              </w:rPr>
              <w:t xml:space="preserve">, </w:t>
            </w:r>
            <w:proofErr w:type="spellStart"/>
            <w:r w:rsidRPr="00C1552A">
              <w:rPr>
                <w:sz w:val="24"/>
                <w:szCs w:val="24"/>
              </w:rPr>
              <w:t>Німеччина</w:t>
            </w:r>
            <w:proofErr w:type="spellEnd"/>
            <w:r w:rsidRPr="00C1552A">
              <w:rPr>
                <w:sz w:val="24"/>
                <w:szCs w:val="24"/>
              </w:rPr>
              <w:t xml:space="preserve">, </w:t>
            </w:r>
            <w:proofErr w:type="spellStart"/>
            <w:r w:rsidRPr="00C1552A">
              <w:rPr>
                <w:sz w:val="24"/>
                <w:szCs w:val="24"/>
              </w:rPr>
              <w:t>потенційно</w:t>
            </w:r>
            <w:proofErr w:type="spellEnd"/>
            <w:r w:rsidRPr="00C1552A">
              <w:rPr>
                <w:sz w:val="24"/>
                <w:szCs w:val="24"/>
              </w:rPr>
              <w:t xml:space="preserve"> </w:t>
            </w:r>
            <w:proofErr w:type="spellStart"/>
            <w:r w:rsidRPr="00C1552A">
              <w:rPr>
                <w:sz w:val="24"/>
                <w:szCs w:val="24"/>
              </w:rPr>
              <w:t>Італія</w:t>
            </w:r>
            <w:proofErr w:type="spellEnd"/>
          </w:p>
        </w:tc>
        <w:tc>
          <w:tcPr>
            <w:tcW w:w="0" w:type="auto"/>
            <w:hideMark/>
          </w:tcPr>
          <w:p w14:paraId="21BC4A2F" w14:textId="77777777" w:rsidR="006533B3" w:rsidRPr="00C1552A" w:rsidRDefault="006533B3" w:rsidP="00C1552A">
            <w:pPr>
              <w:jc w:val="left"/>
              <w:rPr>
                <w:sz w:val="24"/>
                <w:szCs w:val="24"/>
              </w:rPr>
            </w:pPr>
            <w:r w:rsidRPr="00C1552A">
              <w:rPr>
                <w:sz w:val="24"/>
                <w:szCs w:val="24"/>
              </w:rPr>
              <w:t>&gt;15</w:t>
            </w:r>
          </w:p>
        </w:tc>
        <w:tc>
          <w:tcPr>
            <w:tcW w:w="0" w:type="auto"/>
            <w:hideMark/>
          </w:tcPr>
          <w:p w14:paraId="4F76A5A5" w14:textId="77777777" w:rsidR="006533B3" w:rsidRPr="00C1552A" w:rsidRDefault="006533B3" w:rsidP="00C1552A">
            <w:pPr>
              <w:jc w:val="left"/>
              <w:rPr>
                <w:sz w:val="24"/>
                <w:szCs w:val="24"/>
              </w:rPr>
            </w:pPr>
            <w:r w:rsidRPr="00C1552A">
              <w:rPr>
                <w:sz w:val="24"/>
                <w:szCs w:val="24"/>
              </w:rPr>
              <w:t>2023-2035</w:t>
            </w:r>
          </w:p>
        </w:tc>
        <w:tc>
          <w:tcPr>
            <w:tcW w:w="0" w:type="auto"/>
            <w:hideMark/>
          </w:tcPr>
          <w:p w14:paraId="15BD8A1A" w14:textId="77777777" w:rsidR="006533B3" w:rsidRPr="00C1552A" w:rsidRDefault="006533B3" w:rsidP="00C1552A">
            <w:pPr>
              <w:jc w:val="left"/>
              <w:rPr>
                <w:sz w:val="24"/>
                <w:szCs w:val="24"/>
              </w:rPr>
            </w:pPr>
            <w:r w:rsidRPr="00C1552A">
              <w:rPr>
                <w:sz w:val="24"/>
                <w:szCs w:val="24"/>
              </w:rPr>
              <w:t xml:space="preserve">Танк нового </w:t>
            </w:r>
            <w:proofErr w:type="spellStart"/>
            <w:r w:rsidRPr="00C1552A">
              <w:rPr>
                <w:sz w:val="24"/>
                <w:szCs w:val="24"/>
              </w:rPr>
              <w:t>покоління</w:t>
            </w:r>
            <w:proofErr w:type="spellEnd"/>
            <w:r w:rsidRPr="00C1552A">
              <w:rPr>
                <w:sz w:val="24"/>
                <w:szCs w:val="24"/>
              </w:rPr>
              <w:t xml:space="preserve"> </w:t>
            </w:r>
            <w:proofErr w:type="spellStart"/>
            <w:r w:rsidRPr="00C1552A">
              <w:rPr>
                <w:sz w:val="24"/>
                <w:szCs w:val="24"/>
              </w:rPr>
              <w:t>зі</w:t>
            </w:r>
            <w:proofErr w:type="spellEnd"/>
            <w:r w:rsidRPr="00C1552A">
              <w:rPr>
                <w:sz w:val="24"/>
                <w:szCs w:val="24"/>
              </w:rPr>
              <w:t xml:space="preserve"> </w:t>
            </w:r>
            <w:proofErr w:type="spellStart"/>
            <w:r w:rsidRPr="00C1552A">
              <w:rPr>
                <w:sz w:val="24"/>
                <w:szCs w:val="24"/>
              </w:rPr>
              <w:t>штучним</w:t>
            </w:r>
            <w:proofErr w:type="spellEnd"/>
            <w:r w:rsidRPr="00C1552A">
              <w:rPr>
                <w:sz w:val="24"/>
                <w:szCs w:val="24"/>
              </w:rPr>
              <w:t xml:space="preserve"> </w:t>
            </w:r>
            <w:proofErr w:type="spellStart"/>
            <w:r w:rsidRPr="00C1552A">
              <w:rPr>
                <w:sz w:val="24"/>
                <w:szCs w:val="24"/>
              </w:rPr>
              <w:t>інтелектом</w:t>
            </w:r>
            <w:proofErr w:type="spellEnd"/>
            <w:r w:rsidRPr="00C1552A">
              <w:rPr>
                <w:sz w:val="24"/>
                <w:szCs w:val="24"/>
              </w:rPr>
              <w:t xml:space="preserve">, </w:t>
            </w:r>
            <w:proofErr w:type="spellStart"/>
            <w:r w:rsidRPr="00C1552A">
              <w:rPr>
                <w:sz w:val="24"/>
                <w:szCs w:val="24"/>
              </w:rPr>
              <w:t>електронним</w:t>
            </w:r>
            <w:proofErr w:type="spellEnd"/>
            <w:r w:rsidRPr="00C1552A">
              <w:rPr>
                <w:sz w:val="24"/>
                <w:szCs w:val="24"/>
              </w:rPr>
              <w:t xml:space="preserve"> камуфляжем, </w:t>
            </w:r>
            <w:proofErr w:type="spellStart"/>
            <w:r w:rsidRPr="00C1552A">
              <w:rPr>
                <w:sz w:val="24"/>
                <w:szCs w:val="24"/>
              </w:rPr>
              <w:t>активним</w:t>
            </w:r>
            <w:proofErr w:type="spellEnd"/>
            <w:r w:rsidRPr="00C1552A">
              <w:rPr>
                <w:sz w:val="24"/>
                <w:szCs w:val="24"/>
              </w:rPr>
              <w:t xml:space="preserve"> </w:t>
            </w:r>
            <w:proofErr w:type="spellStart"/>
            <w:r w:rsidRPr="00C1552A">
              <w:rPr>
                <w:sz w:val="24"/>
                <w:szCs w:val="24"/>
              </w:rPr>
              <w:t>захистом</w:t>
            </w:r>
            <w:proofErr w:type="spellEnd"/>
          </w:p>
        </w:tc>
      </w:tr>
      <w:tr w:rsidR="006533B3" w:rsidRPr="00C1552A" w14:paraId="5BCEBF5A" w14:textId="77777777" w:rsidTr="00C1552A">
        <w:tc>
          <w:tcPr>
            <w:tcW w:w="0" w:type="auto"/>
            <w:hideMark/>
          </w:tcPr>
          <w:p w14:paraId="6168D424" w14:textId="77777777" w:rsidR="006533B3" w:rsidRPr="00C1552A" w:rsidRDefault="006533B3" w:rsidP="00C1552A">
            <w:pPr>
              <w:jc w:val="left"/>
              <w:rPr>
                <w:sz w:val="24"/>
                <w:szCs w:val="24"/>
              </w:rPr>
            </w:pPr>
            <w:r w:rsidRPr="00C1552A">
              <w:rPr>
                <w:sz w:val="24"/>
                <w:szCs w:val="24"/>
              </w:rPr>
              <w:t>European Patrol Corvette (EPC)</w:t>
            </w:r>
          </w:p>
        </w:tc>
        <w:tc>
          <w:tcPr>
            <w:tcW w:w="0" w:type="auto"/>
            <w:hideMark/>
          </w:tcPr>
          <w:p w14:paraId="0D9F51E8" w14:textId="77777777" w:rsidR="006533B3" w:rsidRPr="00C1552A" w:rsidRDefault="006533B3" w:rsidP="00C1552A">
            <w:pPr>
              <w:jc w:val="left"/>
              <w:rPr>
                <w:sz w:val="24"/>
                <w:szCs w:val="24"/>
              </w:rPr>
            </w:pPr>
            <w:proofErr w:type="spellStart"/>
            <w:r w:rsidRPr="00C1552A">
              <w:rPr>
                <w:sz w:val="24"/>
                <w:szCs w:val="24"/>
              </w:rPr>
              <w:t>Італія</w:t>
            </w:r>
            <w:proofErr w:type="spellEnd"/>
            <w:r w:rsidRPr="00C1552A">
              <w:rPr>
                <w:sz w:val="24"/>
                <w:szCs w:val="24"/>
              </w:rPr>
              <w:t xml:space="preserve">, </w:t>
            </w:r>
            <w:proofErr w:type="spellStart"/>
            <w:r w:rsidRPr="00C1552A">
              <w:rPr>
                <w:sz w:val="24"/>
                <w:szCs w:val="24"/>
              </w:rPr>
              <w:t>Франція</w:t>
            </w:r>
            <w:proofErr w:type="spellEnd"/>
            <w:r w:rsidRPr="00C1552A">
              <w:rPr>
                <w:sz w:val="24"/>
                <w:szCs w:val="24"/>
              </w:rPr>
              <w:t xml:space="preserve">, </w:t>
            </w:r>
            <w:proofErr w:type="spellStart"/>
            <w:r w:rsidRPr="00C1552A">
              <w:rPr>
                <w:sz w:val="24"/>
                <w:szCs w:val="24"/>
              </w:rPr>
              <w:t>Іспанія</w:t>
            </w:r>
            <w:proofErr w:type="spellEnd"/>
            <w:r w:rsidRPr="00C1552A">
              <w:rPr>
                <w:sz w:val="24"/>
                <w:szCs w:val="24"/>
              </w:rPr>
              <w:t xml:space="preserve">, </w:t>
            </w:r>
            <w:proofErr w:type="spellStart"/>
            <w:r w:rsidRPr="00C1552A">
              <w:rPr>
                <w:sz w:val="24"/>
                <w:szCs w:val="24"/>
              </w:rPr>
              <w:t>Греція</w:t>
            </w:r>
            <w:proofErr w:type="spellEnd"/>
          </w:p>
        </w:tc>
        <w:tc>
          <w:tcPr>
            <w:tcW w:w="0" w:type="auto"/>
            <w:hideMark/>
          </w:tcPr>
          <w:p w14:paraId="3415E92E" w14:textId="77777777" w:rsidR="006533B3" w:rsidRPr="00C1552A" w:rsidRDefault="006533B3" w:rsidP="00C1552A">
            <w:pPr>
              <w:jc w:val="left"/>
              <w:rPr>
                <w:sz w:val="24"/>
                <w:szCs w:val="24"/>
              </w:rPr>
            </w:pPr>
            <w:r w:rsidRPr="00C1552A">
              <w:rPr>
                <w:sz w:val="24"/>
                <w:szCs w:val="24"/>
              </w:rPr>
              <w:t>&gt;4</w:t>
            </w:r>
          </w:p>
        </w:tc>
        <w:tc>
          <w:tcPr>
            <w:tcW w:w="0" w:type="auto"/>
            <w:hideMark/>
          </w:tcPr>
          <w:p w14:paraId="479F5085" w14:textId="77777777" w:rsidR="006533B3" w:rsidRPr="00C1552A" w:rsidRDefault="006533B3" w:rsidP="00C1552A">
            <w:pPr>
              <w:jc w:val="left"/>
              <w:rPr>
                <w:sz w:val="24"/>
                <w:szCs w:val="24"/>
              </w:rPr>
            </w:pPr>
            <w:r w:rsidRPr="00C1552A">
              <w:rPr>
                <w:sz w:val="24"/>
                <w:szCs w:val="24"/>
              </w:rPr>
              <w:t>2025-2035</w:t>
            </w:r>
          </w:p>
        </w:tc>
        <w:tc>
          <w:tcPr>
            <w:tcW w:w="0" w:type="auto"/>
            <w:hideMark/>
          </w:tcPr>
          <w:p w14:paraId="45E0CABE" w14:textId="77777777" w:rsidR="006533B3" w:rsidRPr="00C1552A" w:rsidRDefault="006533B3" w:rsidP="00C1552A">
            <w:pPr>
              <w:jc w:val="left"/>
              <w:rPr>
                <w:sz w:val="24"/>
                <w:szCs w:val="24"/>
              </w:rPr>
            </w:pPr>
            <w:proofErr w:type="spellStart"/>
            <w:r w:rsidRPr="00C1552A">
              <w:rPr>
                <w:sz w:val="24"/>
                <w:szCs w:val="24"/>
              </w:rPr>
              <w:t>Модульний</w:t>
            </w:r>
            <w:proofErr w:type="spellEnd"/>
            <w:r w:rsidRPr="00C1552A">
              <w:rPr>
                <w:sz w:val="24"/>
                <w:szCs w:val="24"/>
              </w:rPr>
              <w:t xml:space="preserve"> </w:t>
            </w:r>
            <w:proofErr w:type="spellStart"/>
            <w:r w:rsidRPr="00C1552A">
              <w:rPr>
                <w:sz w:val="24"/>
                <w:szCs w:val="24"/>
              </w:rPr>
              <w:t>багатоцільовий</w:t>
            </w:r>
            <w:proofErr w:type="spellEnd"/>
            <w:r w:rsidRPr="00C1552A">
              <w:rPr>
                <w:sz w:val="24"/>
                <w:szCs w:val="24"/>
              </w:rPr>
              <w:t xml:space="preserve"> корвет для </w:t>
            </w:r>
            <w:proofErr w:type="spellStart"/>
            <w:r w:rsidRPr="00C1552A">
              <w:rPr>
                <w:sz w:val="24"/>
                <w:szCs w:val="24"/>
              </w:rPr>
              <w:t>патрулювання</w:t>
            </w:r>
            <w:proofErr w:type="spellEnd"/>
            <w:r w:rsidRPr="00C1552A">
              <w:rPr>
                <w:sz w:val="24"/>
                <w:szCs w:val="24"/>
              </w:rPr>
              <w:t xml:space="preserve">, </w:t>
            </w:r>
            <w:proofErr w:type="spellStart"/>
            <w:r w:rsidRPr="00C1552A">
              <w:rPr>
                <w:sz w:val="24"/>
                <w:szCs w:val="24"/>
              </w:rPr>
              <w:t>протичовнової</w:t>
            </w:r>
            <w:proofErr w:type="spellEnd"/>
            <w:r w:rsidRPr="00C1552A">
              <w:rPr>
                <w:sz w:val="24"/>
                <w:szCs w:val="24"/>
              </w:rPr>
              <w:t xml:space="preserve"> </w:t>
            </w:r>
            <w:proofErr w:type="spellStart"/>
            <w:r w:rsidRPr="00C1552A">
              <w:rPr>
                <w:sz w:val="24"/>
                <w:szCs w:val="24"/>
              </w:rPr>
              <w:t>війни</w:t>
            </w:r>
            <w:proofErr w:type="spellEnd"/>
            <w:r w:rsidRPr="00C1552A">
              <w:rPr>
                <w:sz w:val="24"/>
                <w:szCs w:val="24"/>
              </w:rPr>
              <w:t xml:space="preserve"> та ППО</w:t>
            </w:r>
          </w:p>
        </w:tc>
      </w:tr>
      <w:tr w:rsidR="006533B3" w:rsidRPr="00C1552A" w14:paraId="78205773" w14:textId="77777777" w:rsidTr="00C1552A">
        <w:tc>
          <w:tcPr>
            <w:tcW w:w="0" w:type="auto"/>
            <w:hideMark/>
          </w:tcPr>
          <w:p w14:paraId="258FC1DA" w14:textId="77777777" w:rsidR="006533B3" w:rsidRPr="00C1552A" w:rsidRDefault="006533B3" w:rsidP="00C1552A">
            <w:pPr>
              <w:jc w:val="left"/>
              <w:rPr>
                <w:sz w:val="24"/>
                <w:szCs w:val="24"/>
              </w:rPr>
            </w:pPr>
            <w:proofErr w:type="spellStart"/>
            <w:r w:rsidRPr="00C1552A">
              <w:rPr>
                <w:sz w:val="24"/>
                <w:szCs w:val="24"/>
              </w:rPr>
              <w:lastRenderedPageBreak/>
              <w:t>Eurodrone</w:t>
            </w:r>
            <w:proofErr w:type="spellEnd"/>
            <w:r w:rsidRPr="00C1552A">
              <w:rPr>
                <w:sz w:val="24"/>
                <w:szCs w:val="24"/>
              </w:rPr>
              <w:t xml:space="preserve"> (MALE RPAS)</w:t>
            </w:r>
          </w:p>
        </w:tc>
        <w:tc>
          <w:tcPr>
            <w:tcW w:w="0" w:type="auto"/>
            <w:hideMark/>
          </w:tcPr>
          <w:p w14:paraId="170CA017" w14:textId="77777777" w:rsidR="006533B3" w:rsidRPr="00C1552A" w:rsidRDefault="006533B3" w:rsidP="00C1552A">
            <w:pPr>
              <w:jc w:val="left"/>
              <w:rPr>
                <w:sz w:val="24"/>
                <w:szCs w:val="24"/>
              </w:rPr>
            </w:pPr>
            <w:proofErr w:type="spellStart"/>
            <w:r w:rsidRPr="00C1552A">
              <w:rPr>
                <w:sz w:val="24"/>
                <w:szCs w:val="24"/>
              </w:rPr>
              <w:t>Німеччина</w:t>
            </w:r>
            <w:proofErr w:type="spellEnd"/>
            <w:r w:rsidRPr="00C1552A">
              <w:rPr>
                <w:sz w:val="24"/>
                <w:szCs w:val="24"/>
              </w:rPr>
              <w:t xml:space="preserve">, </w:t>
            </w:r>
            <w:proofErr w:type="spellStart"/>
            <w:r w:rsidRPr="00C1552A">
              <w:rPr>
                <w:sz w:val="24"/>
                <w:szCs w:val="24"/>
              </w:rPr>
              <w:t>Італія</w:t>
            </w:r>
            <w:proofErr w:type="spellEnd"/>
            <w:r w:rsidRPr="00C1552A">
              <w:rPr>
                <w:sz w:val="24"/>
                <w:szCs w:val="24"/>
              </w:rPr>
              <w:t xml:space="preserve">, </w:t>
            </w:r>
            <w:proofErr w:type="spellStart"/>
            <w:r w:rsidRPr="00C1552A">
              <w:rPr>
                <w:sz w:val="24"/>
                <w:szCs w:val="24"/>
              </w:rPr>
              <w:t>Франція</w:t>
            </w:r>
            <w:proofErr w:type="spellEnd"/>
            <w:r w:rsidRPr="00C1552A">
              <w:rPr>
                <w:sz w:val="24"/>
                <w:szCs w:val="24"/>
              </w:rPr>
              <w:t xml:space="preserve">, </w:t>
            </w:r>
            <w:proofErr w:type="spellStart"/>
            <w:r w:rsidRPr="00C1552A">
              <w:rPr>
                <w:sz w:val="24"/>
                <w:szCs w:val="24"/>
              </w:rPr>
              <w:t>Іспанія</w:t>
            </w:r>
            <w:proofErr w:type="spellEnd"/>
          </w:p>
        </w:tc>
        <w:tc>
          <w:tcPr>
            <w:tcW w:w="0" w:type="auto"/>
            <w:hideMark/>
          </w:tcPr>
          <w:p w14:paraId="5A66484D" w14:textId="77777777" w:rsidR="006533B3" w:rsidRPr="00C1552A" w:rsidRDefault="006533B3" w:rsidP="00C1552A">
            <w:pPr>
              <w:jc w:val="left"/>
              <w:rPr>
                <w:sz w:val="24"/>
                <w:szCs w:val="24"/>
              </w:rPr>
            </w:pPr>
            <w:r w:rsidRPr="00C1552A">
              <w:rPr>
                <w:sz w:val="24"/>
                <w:szCs w:val="24"/>
              </w:rPr>
              <w:t>7,1</w:t>
            </w:r>
          </w:p>
        </w:tc>
        <w:tc>
          <w:tcPr>
            <w:tcW w:w="0" w:type="auto"/>
            <w:hideMark/>
          </w:tcPr>
          <w:p w14:paraId="20F0A9C9" w14:textId="77777777" w:rsidR="006533B3" w:rsidRPr="00C1552A" w:rsidRDefault="006533B3" w:rsidP="00C1552A">
            <w:pPr>
              <w:jc w:val="left"/>
              <w:rPr>
                <w:sz w:val="24"/>
                <w:szCs w:val="24"/>
              </w:rPr>
            </w:pPr>
            <w:r w:rsidRPr="00C1552A">
              <w:rPr>
                <w:sz w:val="24"/>
                <w:szCs w:val="24"/>
              </w:rPr>
              <w:t>2021-2028</w:t>
            </w:r>
          </w:p>
        </w:tc>
        <w:tc>
          <w:tcPr>
            <w:tcW w:w="0" w:type="auto"/>
            <w:hideMark/>
          </w:tcPr>
          <w:p w14:paraId="4BAE4881" w14:textId="77777777" w:rsidR="006533B3" w:rsidRPr="00C1552A" w:rsidRDefault="006533B3" w:rsidP="00C1552A">
            <w:pPr>
              <w:jc w:val="left"/>
              <w:rPr>
                <w:sz w:val="24"/>
                <w:szCs w:val="24"/>
              </w:rPr>
            </w:pPr>
            <w:proofErr w:type="spellStart"/>
            <w:r w:rsidRPr="00C1552A">
              <w:rPr>
                <w:sz w:val="24"/>
                <w:szCs w:val="24"/>
              </w:rPr>
              <w:t>Багатоцільовий</w:t>
            </w:r>
            <w:proofErr w:type="spellEnd"/>
            <w:r w:rsidRPr="00C1552A">
              <w:rPr>
                <w:sz w:val="24"/>
                <w:szCs w:val="24"/>
              </w:rPr>
              <w:t xml:space="preserve"> </w:t>
            </w:r>
            <w:proofErr w:type="spellStart"/>
            <w:r w:rsidRPr="00C1552A">
              <w:rPr>
                <w:sz w:val="24"/>
                <w:szCs w:val="24"/>
              </w:rPr>
              <w:t>безпілотний</w:t>
            </w:r>
            <w:proofErr w:type="spellEnd"/>
            <w:r w:rsidRPr="00C1552A">
              <w:rPr>
                <w:sz w:val="24"/>
                <w:szCs w:val="24"/>
              </w:rPr>
              <w:t xml:space="preserve"> </w:t>
            </w:r>
            <w:proofErr w:type="spellStart"/>
            <w:r w:rsidRPr="00C1552A">
              <w:rPr>
                <w:sz w:val="24"/>
                <w:szCs w:val="24"/>
              </w:rPr>
              <w:t>літальний</w:t>
            </w:r>
            <w:proofErr w:type="spellEnd"/>
            <w:r w:rsidRPr="00C1552A">
              <w:rPr>
                <w:sz w:val="24"/>
                <w:szCs w:val="24"/>
              </w:rPr>
              <w:t xml:space="preserve"> </w:t>
            </w:r>
            <w:proofErr w:type="spellStart"/>
            <w:r w:rsidRPr="00C1552A">
              <w:rPr>
                <w:sz w:val="24"/>
                <w:szCs w:val="24"/>
              </w:rPr>
              <w:t>апарат</w:t>
            </w:r>
            <w:proofErr w:type="spellEnd"/>
            <w:r w:rsidRPr="00C1552A">
              <w:rPr>
                <w:sz w:val="24"/>
                <w:szCs w:val="24"/>
              </w:rPr>
              <w:t xml:space="preserve"> з </w:t>
            </w:r>
            <w:proofErr w:type="spellStart"/>
            <w:r w:rsidRPr="00C1552A">
              <w:rPr>
                <w:sz w:val="24"/>
                <w:szCs w:val="24"/>
              </w:rPr>
              <w:t>середньою</w:t>
            </w:r>
            <w:proofErr w:type="spellEnd"/>
            <w:r w:rsidRPr="00C1552A">
              <w:rPr>
                <w:sz w:val="24"/>
                <w:szCs w:val="24"/>
              </w:rPr>
              <w:t xml:space="preserve"> </w:t>
            </w:r>
            <w:proofErr w:type="spellStart"/>
            <w:r w:rsidRPr="00C1552A">
              <w:rPr>
                <w:sz w:val="24"/>
                <w:szCs w:val="24"/>
              </w:rPr>
              <w:t>висотою</w:t>
            </w:r>
            <w:proofErr w:type="spellEnd"/>
            <w:r w:rsidRPr="00C1552A">
              <w:rPr>
                <w:sz w:val="24"/>
                <w:szCs w:val="24"/>
              </w:rPr>
              <w:t xml:space="preserve"> та </w:t>
            </w:r>
            <w:proofErr w:type="spellStart"/>
            <w:r w:rsidRPr="00C1552A">
              <w:rPr>
                <w:sz w:val="24"/>
                <w:szCs w:val="24"/>
              </w:rPr>
              <w:t>тривалим</w:t>
            </w:r>
            <w:proofErr w:type="spellEnd"/>
            <w:r w:rsidRPr="00C1552A">
              <w:rPr>
                <w:sz w:val="24"/>
                <w:szCs w:val="24"/>
              </w:rPr>
              <w:t xml:space="preserve"> часом </w:t>
            </w:r>
            <w:proofErr w:type="spellStart"/>
            <w:r w:rsidRPr="00C1552A">
              <w:rPr>
                <w:sz w:val="24"/>
                <w:szCs w:val="24"/>
              </w:rPr>
              <w:t>польоту</w:t>
            </w:r>
            <w:proofErr w:type="spellEnd"/>
          </w:p>
        </w:tc>
      </w:tr>
      <w:tr w:rsidR="006533B3" w:rsidRPr="00C1552A" w14:paraId="77C4213C" w14:textId="77777777" w:rsidTr="00C1552A">
        <w:tc>
          <w:tcPr>
            <w:tcW w:w="0" w:type="auto"/>
            <w:hideMark/>
          </w:tcPr>
          <w:p w14:paraId="0BC7C7C6" w14:textId="77777777" w:rsidR="006533B3" w:rsidRPr="00CE22B8" w:rsidRDefault="006533B3" w:rsidP="00C1552A">
            <w:pPr>
              <w:jc w:val="left"/>
              <w:rPr>
                <w:sz w:val="24"/>
                <w:szCs w:val="24"/>
                <w:lang w:val="en-US"/>
              </w:rPr>
            </w:pPr>
            <w:r w:rsidRPr="00CE22B8">
              <w:rPr>
                <w:sz w:val="24"/>
                <w:szCs w:val="24"/>
                <w:lang w:val="en-US"/>
              </w:rPr>
              <w:t>European Secure Software-defined Radio (ESSOR)</w:t>
            </w:r>
          </w:p>
        </w:tc>
        <w:tc>
          <w:tcPr>
            <w:tcW w:w="0" w:type="auto"/>
            <w:hideMark/>
          </w:tcPr>
          <w:p w14:paraId="0A47A71D" w14:textId="77777777" w:rsidR="006533B3" w:rsidRPr="00CE22B8" w:rsidRDefault="006533B3" w:rsidP="00C1552A">
            <w:pPr>
              <w:jc w:val="left"/>
              <w:rPr>
                <w:sz w:val="24"/>
                <w:szCs w:val="24"/>
                <w:lang w:val="en-US"/>
              </w:rPr>
            </w:pPr>
            <w:proofErr w:type="spellStart"/>
            <w:r w:rsidRPr="00C1552A">
              <w:rPr>
                <w:sz w:val="24"/>
                <w:szCs w:val="24"/>
              </w:rPr>
              <w:t>Фінляндія</w:t>
            </w:r>
            <w:proofErr w:type="spellEnd"/>
            <w:r w:rsidRPr="00CE22B8">
              <w:rPr>
                <w:sz w:val="24"/>
                <w:szCs w:val="24"/>
                <w:lang w:val="en-US"/>
              </w:rPr>
              <w:t xml:space="preserve">, </w:t>
            </w:r>
            <w:proofErr w:type="spellStart"/>
            <w:r w:rsidRPr="00C1552A">
              <w:rPr>
                <w:sz w:val="24"/>
                <w:szCs w:val="24"/>
              </w:rPr>
              <w:t>Франція</w:t>
            </w:r>
            <w:proofErr w:type="spellEnd"/>
            <w:r w:rsidRPr="00CE22B8">
              <w:rPr>
                <w:sz w:val="24"/>
                <w:szCs w:val="24"/>
                <w:lang w:val="en-US"/>
              </w:rPr>
              <w:t xml:space="preserve">, </w:t>
            </w:r>
            <w:proofErr w:type="spellStart"/>
            <w:r w:rsidRPr="00C1552A">
              <w:rPr>
                <w:sz w:val="24"/>
                <w:szCs w:val="24"/>
              </w:rPr>
              <w:t>Німеччина</w:t>
            </w:r>
            <w:proofErr w:type="spellEnd"/>
            <w:r w:rsidRPr="00CE22B8">
              <w:rPr>
                <w:sz w:val="24"/>
                <w:szCs w:val="24"/>
                <w:lang w:val="en-US"/>
              </w:rPr>
              <w:t xml:space="preserve">, </w:t>
            </w:r>
            <w:proofErr w:type="spellStart"/>
            <w:r w:rsidRPr="00C1552A">
              <w:rPr>
                <w:sz w:val="24"/>
                <w:szCs w:val="24"/>
              </w:rPr>
              <w:t>Італія</w:t>
            </w:r>
            <w:proofErr w:type="spellEnd"/>
            <w:r w:rsidRPr="00CE22B8">
              <w:rPr>
                <w:sz w:val="24"/>
                <w:szCs w:val="24"/>
                <w:lang w:val="en-US"/>
              </w:rPr>
              <w:t xml:space="preserve">, </w:t>
            </w:r>
            <w:proofErr w:type="spellStart"/>
            <w:r w:rsidRPr="00C1552A">
              <w:rPr>
                <w:sz w:val="24"/>
                <w:szCs w:val="24"/>
              </w:rPr>
              <w:t>Польща</w:t>
            </w:r>
            <w:proofErr w:type="spellEnd"/>
            <w:r w:rsidRPr="00CE22B8">
              <w:rPr>
                <w:sz w:val="24"/>
                <w:szCs w:val="24"/>
                <w:lang w:val="en-US"/>
              </w:rPr>
              <w:t xml:space="preserve">, </w:t>
            </w:r>
            <w:proofErr w:type="spellStart"/>
            <w:r w:rsidRPr="00C1552A">
              <w:rPr>
                <w:sz w:val="24"/>
                <w:szCs w:val="24"/>
              </w:rPr>
              <w:t>Іспанія</w:t>
            </w:r>
            <w:proofErr w:type="spellEnd"/>
            <w:r w:rsidRPr="00CE22B8">
              <w:rPr>
                <w:sz w:val="24"/>
                <w:szCs w:val="24"/>
                <w:lang w:val="en-US"/>
              </w:rPr>
              <w:t xml:space="preserve">, </w:t>
            </w:r>
            <w:proofErr w:type="spellStart"/>
            <w:r w:rsidRPr="00C1552A">
              <w:rPr>
                <w:sz w:val="24"/>
                <w:szCs w:val="24"/>
              </w:rPr>
              <w:t>Швеція</w:t>
            </w:r>
            <w:proofErr w:type="spellEnd"/>
          </w:p>
        </w:tc>
        <w:tc>
          <w:tcPr>
            <w:tcW w:w="0" w:type="auto"/>
            <w:hideMark/>
          </w:tcPr>
          <w:p w14:paraId="79E2AF24" w14:textId="77777777" w:rsidR="006533B3" w:rsidRPr="00C1552A" w:rsidRDefault="006533B3" w:rsidP="00C1552A">
            <w:pPr>
              <w:jc w:val="left"/>
              <w:rPr>
                <w:sz w:val="24"/>
                <w:szCs w:val="24"/>
              </w:rPr>
            </w:pPr>
            <w:r w:rsidRPr="00C1552A">
              <w:rPr>
                <w:sz w:val="24"/>
                <w:szCs w:val="24"/>
              </w:rPr>
              <w:t>0,137</w:t>
            </w:r>
          </w:p>
        </w:tc>
        <w:tc>
          <w:tcPr>
            <w:tcW w:w="0" w:type="auto"/>
            <w:hideMark/>
          </w:tcPr>
          <w:p w14:paraId="0865ED58" w14:textId="77777777" w:rsidR="006533B3" w:rsidRPr="00C1552A" w:rsidRDefault="006533B3" w:rsidP="00C1552A">
            <w:pPr>
              <w:jc w:val="left"/>
              <w:rPr>
                <w:sz w:val="24"/>
                <w:szCs w:val="24"/>
              </w:rPr>
            </w:pPr>
            <w:r w:rsidRPr="00C1552A">
              <w:rPr>
                <w:sz w:val="24"/>
                <w:szCs w:val="24"/>
              </w:rPr>
              <w:t>2017-2026</w:t>
            </w:r>
          </w:p>
        </w:tc>
        <w:tc>
          <w:tcPr>
            <w:tcW w:w="0" w:type="auto"/>
            <w:hideMark/>
          </w:tcPr>
          <w:p w14:paraId="494F06C9" w14:textId="77777777" w:rsidR="006533B3" w:rsidRPr="00C1552A" w:rsidRDefault="006533B3" w:rsidP="00C1552A">
            <w:pPr>
              <w:jc w:val="left"/>
              <w:rPr>
                <w:sz w:val="24"/>
                <w:szCs w:val="24"/>
              </w:rPr>
            </w:pPr>
            <w:proofErr w:type="spellStart"/>
            <w:r w:rsidRPr="00C1552A">
              <w:rPr>
                <w:sz w:val="24"/>
                <w:szCs w:val="24"/>
              </w:rPr>
              <w:t>Захищена</w:t>
            </w:r>
            <w:proofErr w:type="spellEnd"/>
            <w:r w:rsidRPr="00C1552A">
              <w:rPr>
                <w:sz w:val="24"/>
                <w:szCs w:val="24"/>
              </w:rPr>
              <w:t xml:space="preserve"> система </w:t>
            </w:r>
            <w:proofErr w:type="spellStart"/>
            <w:r w:rsidRPr="00C1552A">
              <w:rPr>
                <w:sz w:val="24"/>
                <w:szCs w:val="24"/>
              </w:rPr>
              <w:t>зв'язку</w:t>
            </w:r>
            <w:proofErr w:type="spellEnd"/>
            <w:r w:rsidRPr="00C1552A">
              <w:rPr>
                <w:sz w:val="24"/>
                <w:szCs w:val="24"/>
              </w:rPr>
              <w:t xml:space="preserve">, </w:t>
            </w:r>
            <w:proofErr w:type="spellStart"/>
            <w:r w:rsidRPr="00C1552A">
              <w:rPr>
                <w:sz w:val="24"/>
                <w:szCs w:val="24"/>
              </w:rPr>
              <w:t>сумісна</w:t>
            </w:r>
            <w:proofErr w:type="spellEnd"/>
            <w:r w:rsidRPr="00C1552A">
              <w:rPr>
                <w:sz w:val="24"/>
                <w:szCs w:val="24"/>
              </w:rPr>
              <w:t xml:space="preserve"> </w:t>
            </w:r>
            <w:proofErr w:type="spellStart"/>
            <w:r w:rsidRPr="00C1552A">
              <w:rPr>
                <w:sz w:val="24"/>
                <w:szCs w:val="24"/>
              </w:rPr>
              <w:t>між</w:t>
            </w:r>
            <w:proofErr w:type="spellEnd"/>
            <w:r w:rsidRPr="00C1552A">
              <w:rPr>
                <w:sz w:val="24"/>
                <w:szCs w:val="24"/>
              </w:rPr>
              <w:t xml:space="preserve"> </w:t>
            </w:r>
            <w:proofErr w:type="spellStart"/>
            <w:r w:rsidRPr="00C1552A">
              <w:rPr>
                <w:sz w:val="24"/>
                <w:szCs w:val="24"/>
              </w:rPr>
              <w:t>збройними</w:t>
            </w:r>
            <w:proofErr w:type="spellEnd"/>
            <w:r w:rsidRPr="00C1552A">
              <w:rPr>
                <w:sz w:val="24"/>
                <w:szCs w:val="24"/>
              </w:rPr>
              <w:t xml:space="preserve"> силами </w:t>
            </w:r>
            <w:proofErr w:type="spellStart"/>
            <w:r w:rsidRPr="00C1552A">
              <w:rPr>
                <w:sz w:val="24"/>
                <w:szCs w:val="24"/>
              </w:rPr>
              <w:t>країн</w:t>
            </w:r>
            <w:proofErr w:type="spellEnd"/>
            <w:r w:rsidRPr="00C1552A">
              <w:rPr>
                <w:sz w:val="24"/>
                <w:szCs w:val="24"/>
              </w:rPr>
              <w:t xml:space="preserve"> ЄС</w:t>
            </w:r>
          </w:p>
        </w:tc>
      </w:tr>
    </w:tbl>
    <w:p w14:paraId="20DF7A76" w14:textId="77777777" w:rsidR="00C1552A" w:rsidRDefault="00C1552A" w:rsidP="006533B3">
      <w:pPr>
        <w:pStyle w:val="whitespace-normal"/>
        <w:spacing w:before="0" w:beforeAutospacing="0" w:after="0" w:afterAutospacing="0" w:line="360" w:lineRule="auto"/>
        <w:ind w:firstLine="709"/>
        <w:jc w:val="both"/>
        <w:rPr>
          <w:sz w:val="28"/>
          <w:szCs w:val="28"/>
        </w:rPr>
      </w:pPr>
    </w:p>
    <w:p w14:paraId="3A3C014B" w14:textId="4D6F79FF" w:rsidR="006533B3" w:rsidRPr="006533B3" w:rsidRDefault="006533B3" w:rsidP="006533B3">
      <w:pPr>
        <w:pStyle w:val="whitespace-normal"/>
        <w:spacing w:before="0" w:beforeAutospacing="0" w:after="0" w:afterAutospacing="0" w:line="360" w:lineRule="auto"/>
        <w:ind w:firstLine="709"/>
        <w:jc w:val="both"/>
        <w:rPr>
          <w:sz w:val="28"/>
          <w:szCs w:val="28"/>
        </w:rPr>
      </w:pPr>
      <w:r w:rsidRPr="006533B3">
        <w:rPr>
          <w:sz w:val="28"/>
          <w:szCs w:val="28"/>
        </w:rPr>
        <w:t>Розвиток оборонних інновацій та технологічного лідерства становить ключовий пріоритет європейської оборонної політики на найближчі десятиліття. «Стратегічний компас» визначив інноваційний імператив як фундаментальну умову підтримання технологічної переваги та адаптації до нових форм ведення бойових дій. Центр оборонних інновацій (Defence Innovation Hub), створений у структурі Європейського оборонного агентства, координує зусилля з розвитку проривних технологій, включаючи штучний інтелект, квантові обчислення, гіперзвукові системи, нанотехнології та біотехнології. Європейський оборонний фонд збільшив фінансування досліджень та розробок у сфері критичних технологій, виділивши 1,2 млрд євро на період 2024-2027 років для проєктів у сфері квантових технологій, космічних систем та біотехнологій. Паралельно розвивається співпраця з інноваційними екосистемами, включаючи стартапи, університети та дослідницькі центри, для стимулювання трансферу технологій між цивільним та оборонним секторами [6].</w:t>
      </w:r>
    </w:p>
    <w:p w14:paraId="2B0A75E3" w14:textId="29944CE5" w:rsidR="006533B3" w:rsidRPr="006533B3" w:rsidRDefault="006533B3" w:rsidP="006533B3">
      <w:pPr>
        <w:pStyle w:val="whitespace-normal"/>
        <w:spacing w:before="0" w:beforeAutospacing="0" w:after="0" w:afterAutospacing="0" w:line="360" w:lineRule="auto"/>
        <w:ind w:firstLine="709"/>
        <w:jc w:val="both"/>
        <w:rPr>
          <w:sz w:val="28"/>
          <w:szCs w:val="28"/>
        </w:rPr>
      </w:pPr>
      <w:r w:rsidRPr="006533B3">
        <w:rPr>
          <w:sz w:val="28"/>
          <w:szCs w:val="28"/>
        </w:rPr>
        <w:t xml:space="preserve">Стратегічні перспективи розвитку оборонного потенціалу ЄС нерозривно пов'язані з трансформацією європейської архітектури безпеки, включаючи відносини з НАТО, стратегічне партнерство зі США та взаємодію з іншими ключовими акторами. Російсько-українська війна посилила усвідомлення взаємодоповнюваності ЄС та НАТО як двох стовпів європейської безпеки з комплементарними функціями та інструментами. НАТО залишається ключовим механізмом територіальної оборони та ядерного стримування, тоді як ЄС розвиває спроможності у сферах кризового менеджменту, цивільно-військової синергії, протидії гібридним загрозам та забезпечення енергетичної та </w:t>
      </w:r>
      <w:r w:rsidRPr="006533B3">
        <w:rPr>
          <w:sz w:val="28"/>
          <w:szCs w:val="28"/>
        </w:rPr>
        <w:lastRenderedPageBreak/>
        <w:t>технологічної безпеки. Спільна декларація ЄС-НАТО від 10 січня 2023 року визначила конкретні сфери поглибленої співпраці, включаючи протидію гібридним загрозам, кібербезпеку, військову мобільність, розвиток технологічних інновацій та підтримку України [7].</w:t>
      </w:r>
    </w:p>
    <w:p w14:paraId="4B593E8F" w14:textId="48A80E04" w:rsidR="006533B3" w:rsidRPr="006533B3" w:rsidRDefault="006533B3" w:rsidP="006533B3">
      <w:pPr>
        <w:pStyle w:val="whitespace-normal"/>
        <w:spacing w:before="0" w:beforeAutospacing="0" w:after="0" w:afterAutospacing="0" w:line="360" w:lineRule="auto"/>
        <w:ind w:firstLine="709"/>
        <w:jc w:val="both"/>
        <w:rPr>
          <w:sz w:val="28"/>
          <w:szCs w:val="28"/>
        </w:rPr>
      </w:pPr>
      <w:r w:rsidRPr="006533B3">
        <w:rPr>
          <w:sz w:val="28"/>
          <w:szCs w:val="28"/>
        </w:rPr>
        <w:t>Еволюція трансатлантичних відносин становить важливий фактор, що впливає на перспективи розвитку оборонного потенціалу ЄС. Повномасштабне російське вторгнення в Україну стимулювало відновлення стратегічного діалогу між ЄС та США, що проявилося у створенні нових форматів взаємодії, включаючи Діалог ЄС-США з безпеки та оборони та Раду з торгівлі та технологій. Водночас, європейські лідери усвідомлюють ризики, пов'язані з надмірною залежністю від американських безпекових гарантій, особливо в контексті можливих змін у зовнішньополітичних пріоритетах США. Поняття «стратегічної відповідальності» (strategic responsibility) поступово витісняє концепцію «стратегічної автономії» в європейському дискурсі, відображаючи прагнення ЄС розвивати власні оборонні спроможності не як альтернативу трансатлантичному партнерству, а як внесок у справедливий розподіл безпекового тягаря та забезпечення здатності діяти в ситуаціях, коли залучення США неможливе або небажане [8].</w:t>
      </w:r>
    </w:p>
    <w:p w14:paraId="39C1DD86" w14:textId="722E9C3F" w:rsidR="006533B3" w:rsidRPr="006533B3" w:rsidRDefault="006533B3" w:rsidP="006533B3">
      <w:pPr>
        <w:pStyle w:val="whitespace-normal"/>
        <w:spacing w:before="0" w:beforeAutospacing="0" w:after="0" w:afterAutospacing="0" w:line="360" w:lineRule="auto"/>
        <w:ind w:firstLine="709"/>
        <w:jc w:val="both"/>
        <w:rPr>
          <w:sz w:val="28"/>
          <w:szCs w:val="28"/>
        </w:rPr>
      </w:pPr>
      <w:r w:rsidRPr="006533B3">
        <w:rPr>
          <w:sz w:val="28"/>
          <w:szCs w:val="28"/>
        </w:rPr>
        <w:t>Трансформація безпекового середовища в Європі після повномасштабного російського вторгнення в Україну характеризується формуванням нової геополітичної реальності, що матиме довгострокові наслідки для європейської архітектури безпеки. Перший ключовий аспект цієї трансформації – ремілітаризація європейського континенту та повернення до логіки стримування та оборони як основних принципів забезпечення безпеки. Після завершення холодної війни в Європі домінувала парадигма «дивідендів миру», що передбачала скорочення військових витрат, зменшення чисельності збройних сил та конверсію оборонної промисловості. Російська агресія проти України зруйнувала цю парадигму, повернувши традиційні безпекові концепції військового стримування, територіальної оборони та балансу сил в центр європейського стратегічного мислення [9].</w:t>
      </w:r>
    </w:p>
    <w:p w14:paraId="5D5C34E5" w14:textId="012D1334" w:rsidR="006533B3" w:rsidRPr="006533B3" w:rsidRDefault="006533B3" w:rsidP="006533B3">
      <w:pPr>
        <w:pStyle w:val="whitespace-normal"/>
        <w:spacing w:before="0" w:beforeAutospacing="0" w:after="0" w:afterAutospacing="0" w:line="360" w:lineRule="auto"/>
        <w:ind w:firstLine="709"/>
        <w:jc w:val="both"/>
        <w:rPr>
          <w:sz w:val="28"/>
          <w:szCs w:val="28"/>
        </w:rPr>
      </w:pPr>
      <w:r w:rsidRPr="006533B3">
        <w:rPr>
          <w:sz w:val="28"/>
          <w:szCs w:val="28"/>
        </w:rPr>
        <w:lastRenderedPageBreak/>
        <w:t>Другий аспект трансформації – формування нових ліній геополітичного розлому в Європі, що проявляється у стабілізації кордону між «колективним Заходом» та Росією. Вступ Фінляндії та Швеції до НАТО, надання статусу кандидата в ЄС Україні та Молдові, поглиблення інтеграції Грузії з європейськими та євроатлантичними структурами свідчать про консолідацію простору демократії та безпеки на противагу авторитарним режимам Росії та Білорусі. Мілітаризація Калінінградської області, російська військова присутність у Білорусі та окупованих територіях України формують нову «залізну завісу», що розділяє європейський континент. Геополітична реконфігурація супроводжується поглибленням економічного, технологічного та ціннісного розриву між демократичними та авторитарними системами [6].</w:t>
      </w:r>
    </w:p>
    <w:p w14:paraId="35661F84" w14:textId="2D525F2F" w:rsidR="006533B3" w:rsidRPr="006533B3" w:rsidRDefault="006533B3" w:rsidP="006533B3">
      <w:pPr>
        <w:pStyle w:val="whitespace-normal"/>
        <w:spacing w:before="0" w:beforeAutospacing="0" w:after="0" w:afterAutospacing="0" w:line="360" w:lineRule="auto"/>
        <w:ind w:firstLine="709"/>
        <w:jc w:val="both"/>
        <w:rPr>
          <w:sz w:val="28"/>
          <w:szCs w:val="28"/>
        </w:rPr>
      </w:pPr>
      <w:r w:rsidRPr="006533B3">
        <w:rPr>
          <w:sz w:val="28"/>
          <w:szCs w:val="28"/>
        </w:rPr>
        <w:t>Третій аспект трансформації безпекового середовища – гібридизація загроз та розмивання кордонів між військовими та невійськовими формами конфлікту. Російська агресія супроводжується масштабними кібератаками, дезінформаційними кампаніями, економічним тиском, енергетичним шантажем та використанням міграції як зброї. Ця комплексна стратегія вимагає розвитку інтегрованого підходу до безпеки, що поєднує військові, дипломатичні, економічні, інформаційні та технологічні інструменти. ЄС як мультифункціональна організація з широким спектром компетенцій має унікальні можливості для розвитку такого інтегрованого підходу, що становить його компаративну перевагу порівняно з суто військовими альянсами [</w:t>
      </w:r>
      <w:r w:rsidR="00C1552A">
        <w:rPr>
          <w:sz w:val="28"/>
          <w:szCs w:val="28"/>
        </w:rPr>
        <w:t>11</w:t>
      </w:r>
      <w:r w:rsidRPr="006533B3">
        <w:rPr>
          <w:sz w:val="28"/>
          <w:szCs w:val="28"/>
        </w:rPr>
        <w:t>].</w:t>
      </w:r>
    </w:p>
    <w:p w14:paraId="29D3DB21" w14:textId="223BA430" w:rsidR="006533B3" w:rsidRPr="006533B3" w:rsidRDefault="006533B3" w:rsidP="006533B3">
      <w:pPr>
        <w:pStyle w:val="whitespace-normal"/>
        <w:spacing w:before="0" w:beforeAutospacing="0" w:after="0" w:afterAutospacing="0" w:line="360" w:lineRule="auto"/>
        <w:ind w:firstLine="709"/>
        <w:jc w:val="both"/>
        <w:rPr>
          <w:sz w:val="28"/>
          <w:szCs w:val="28"/>
        </w:rPr>
      </w:pPr>
      <w:r w:rsidRPr="006533B3">
        <w:rPr>
          <w:sz w:val="28"/>
          <w:szCs w:val="28"/>
        </w:rPr>
        <w:t xml:space="preserve">Четвертим аспектом трансформації є зміна підходів до економічної взаємозалежності та глобалізації в контексті безпеки. Якщо раніше економічна інтеграція розглядалася як гарантія миру та стабільності, то російська агресія продемонструвала, що економічні зв'язки можуть використовуватися як інструмент геополітичного тиску та створювати критичні вразливості. Європейська концепція «відкритої стратегічної автономії» та політика «де-ризикингу» відображають новий, більш прагматичний підхід до економічної взаємодії з потенційно ворожими акторами, що передбачає диверсифікацію ланцюгів постачання, захист критичних технологій та інфраструктури, скринінг </w:t>
      </w:r>
      <w:r w:rsidRPr="006533B3">
        <w:rPr>
          <w:sz w:val="28"/>
          <w:szCs w:val="28"/>
        </w:rPr>
        <w:lastRenderedPageBreak/>
        <w:t>іноземних інвестицій та розвиток власних спроможностей у стратегічних секторах [</w:t>
      </w:r>
      <w:r w:rsidR="00C1552A">
        <w:rPr>
          <w:sz w:val="28"/>
          <w:szCs w:val="28"/>
        </w:rPr>
        <w:t>12</w:t>
      </w:r>
      <w:r w:rsidRPr="006533B3">
        <w:rPr>
          <w:sz w:val="28"/>
          <w:szCs w:val="28"/>
        </w:rPr>
        <w:t>].</w:t>
      </w:r>
    </w:p>
    <w:p w14:paraId="3F8A421A" w14:textId="77777777" w:rsidR="006533B3" w:rsidRPr="006533B3" w:rsidRDefault="006533B3" w:rsidP="006533B3">
      <w:pPr>
        <w:pStyle w:val="whitespace-normal"/>
        <w:spacing w:before="0" w:beforeAutospacing="0" w:after="0" w:afterAutospacing="0" w:line="360" w:lineRule="auto"/>
        <w:ind w:firstLine="709"/>
        <w:jc w:val="both"/>
        <w:rPr>
          <w:sz w:val="28"/>
          <w:szCs w:val="28"/>
        </w:rPr>
      </w:pPr>
      <w:r w:rsidRPr="006533B3">
        <w:rPr>
          <w:sz w:val="28"/>
          <w:szCs w:val="28"/>
        </w:rPr>
        <w:t>П'ятий аспект трансформації безпекового середовища – переоцінка ролі енергетики як стратегічного інструменту та фактору національної безпеки. Використання Росією енергетичних поставок як зброї прискорило енергетичний перехід в Європі, стимулювавши диверсифікацію джерел постачання, розвиток відновлюваної енергетики та формування нових енергетичних альянсів. Енергетична безпека стає інтегральним компонентом загальної архітектури європейської безпеки, що проявляється у створенні нових інституційних механізмів (EU Energy Platform), розвитку критичної інфраструктури (LNG термінали, інтерконектори) та формуванні стратегічних партнерств з ключовими постачальниками (США, Норвегія, Азербайджан, країни Перської затоки) [63].</w:t>
      </w:r>
    </w:p>
    <w:p w14:paraId="3616B35E" w14:textId="1621CE74" w:rsidR="006533B3" w:rsidRDefault="006533B3" w:rsidP="006533B3">
      <w:pPr>
        <w:pStyle w:val="whitespace-normal"/>
        <w:spacing w:before="0" w:beforeAutospacing="0" w:after="0" w:afterAutospacing="0" w:line="360" w:lineRule="auto"/>
        <w:ind w:firstLine="709"/>
        <w:jc w:val="both"/>
        <w:rPr>
          <w:sz w:val="28"/>
          <w:szCs w:val="28"/>
        </w:rPr>
      </w:pPr>
      <w:r w:rsidRPr="006533B3">
        <w:rPr>
          <w:sz w:val="28"/>
          <w:szCs w:val="28"/>
        </w:rPr>
        <w:t>Перспективи розвитку оборонного потенціалу ЄС та трансформації безпекового середовища визначатимуться складною взаємодією технологічних, економічних, політичних та геостратегічних факторів. Ключовими детермінантами майбутнього європейської безпеки будуть: траєкторія та результати російсько-української війни; еволюція трансатлантичних відносин; здатність ЄС подолати фрагментацію оборонної промисловості та розвинути технологічне лідерство; інституційна адаптація механізмів прийняття рішень у сфері безпеки та оборони; та спроможність інтегрувати різноманітні національні підходи в рамках спільної стратегічної візії. Реалізація амбітних планів розвитку оборонного потенціалу ЄС потребуватиме стабільного фінансування, політичної волі до поглиблення інтеграції у сфері безпеки та оборони, ефективної координації національних та загальноєвропейських ініціатив та розвитку стратегічної культури, орієнтованої на відповідальне використання військової сили для захисту європейських цінностей та інтересів.</w:t>
      </w:r>
    </w:p>
    <w:p w14:paraId="43061225" w14:textId="77777777" w:rsidR="00C1552A" w:rsidRDefault="00C1552A" w:rsidP="006533B3">
      <w:pPr>
        <w:pStyle w:val="whitespace-normal"/>
        <w:spacing w:before="0" w:beforeAutospacing="0" w:after="0" w:afterAutospacing="0" w:line="360" w:lineRule="auto"/>
        <w:ind w:firstLine="709"/>
        <w:jc w:val="both"/>
        <w:rPr>
          <w:sz w:val="28"/>
          <w:szCs w:val="28"/>
        </w:rPr>
      </w:pPr>
    </w:p>
    <w:p w14:paraId="36453E25" w14:textId="77777777" w:rsidR="00C1552A" w:rsidRPr="006533B3" w:rsidRDefault="00C1552A" w:rsidP="006533B3">
      <w:pPr>
        <w:pStyle w:val="whitespace-normal"/>
        <w:spacing w:before="0" w:beforeAutospacing="0" w:after="0" w:afterAutospacing="0" w:line="360" w:lineRule="auto"/>
        <w:ind w:firstLine="709"/>
        <w:jc w:val="both"/>
        <w:rPr>
          <w:sz w:val="28"/>
          <w:szCs w:val="28"/>
        </w:rPr>
      </w:pPr>
    </w:p>
    <w:p w14:paraId="1FEBE169" w14:textId="77777777" w:rsidR="006533B3" w:rsidRPr="006533B3" w:rsidRDefault="006533B3" w:rsidP="00C1552A">
      <w:pPr>
        <w:pStyle w:val="1"/>
      </w:pPr>
      <w:bookmarkStart w:id="13" w:name="_Toc198089421"/>
      <w:r w:rsidRPr="006533B3">
        <w:lastRenderedPageBreak/>
        <w:t>ВИСНОВКИ</w:t>
      </w:r>
      <w:bookmarkEnd w:id="13"/>
    </w:p>
    <w:p w14:paraId="37333ED4" w14:textId="77777777" w:rsidR="006533B3" w:rsidRPr="006533B3" w:rsidRDefault="006533B3" w:rsidP="006533B3">
      <w:pPr>
        <w:pStyle w:val="whitespace-normal"/>
        <w:spacing w:before="0" w:beforeAutospacing="0" w:after="0" w:afterAutospacing="0" w:line="360" w:lineRule="auto"/>
        <w:ind w:firstLine="709"/>
        <w:jc w:val="both"/>
        <w:rPr>
          <w:sz w:val="28"/>
          <w:szCs w:val="28"/>
        </w:rPr>
      </w:pPr>
      <w:r w:rsidRPr="006533B3">
        <w:rPr>
          <w:sz w:val="28"/>
          <w:szCs w:val="28"/>
        </w:rPr>
        <w:t>Дослідження формування політики колективної безпеки Європейського Союзу в умовах російсько-української війни дозволяє зробити низку фундаментальних висновків щодо трансформації безпекової парадигми ЄС, еволюції інституційних механізмів, динаміки оборонних бюджетів та перспектив розвитку європейського оборонного потенціалу.</w:t>
      </w:r>
    </w:p>
    <w:p w14:paraId="43FE2202" w14:textId="79BE35E8" w:rsidR="006533B3" w:rsidRPr="006533B3" w:rsidRDefault="006533B3" w:rsidP="006533B3">
      <w:pPr>
        <w:pStyle w:val="whitespace-normal"/>
        <w:spacing w:before="0" w:beforeAutospacing="0" w:after="0" w:afterAutospacing="0" w:line="360" w:lineRule="auto"/>
        <w:ind w:firstLine="709"/>
        <w:jc w:val="both"/>
        <w:rPr>
          <w:sz w:val="28"/>
          <w:szCs w:val="28"/>
        </w:rPr>
      </w:pPr>
      <w:r w:rsidRPr="006533B3">
        <w:rPr>
          <w:sz w:val="28"/>
          <w:szCs w:val="28"/>
        </w:rPr>
        <w:t>Повномасштабне російське вторгнення в Україну 24 лютого 2022 року спричинило фундаментальну трансформацію безпекової парадигми ЄС, що проявилася у чіткій ідентифікації Росії як довгострокової системної загрози європейській безпеці, мілітаризації безпекового дискурсу, практичному наповненні концепції стратегічної автономії та інтеграції безпекових міркувань в економічну політику. Зникнення ілюзій щодо можливості підтримки сталого миру в Європі винятково дипломатичними засобами призвело до консолідації безпекових зусиль ЄС та прискорення процесів, які раніше розвивалися повільно та фрагментарно.</w:t>
      </w:r>
    </w:p>
    <w:p w14:paraId="076B7C26" w14:textId="0D7FC53C" w:rsidR="006533B3" w:rsidRPr="006533B3" w:rsidRDefault="006533B3" w:rsidP="006533B3">
      <w:pPr>
        <w:pStyle w:val="whitespace-normal"/>
        <w:spacing w:before="0" w:beforeAutospacing="0" w:after="0" w:afterAutospacing="0" w:line="360" w:lineRule="auto"/>
        <w:ind w:firstLine="709"/>
        <w:jc w:val="both"/>
        <w:rPr>
          <w:sz w:val="28"/>
          <w:szCs w:val="28"/>
        </w:rPr>
      </w:pPr>
      <w:r w:rsidRPr="006533B3">
        <w:rPr>
          <w:sz w:val="28"/>
          <w:szCs w:val="28"/>
        </w:rPr>
        <w:t>Аналіз еволюції архітектури безпеки та оборони ЄС свідчить про поступову, але непослідовну інституціоналізацію європейської оборонної політики від невдалої спроби створення Європейського оборонного співтовариства в 1950-х роках до формування комплексної системи спільної безпекової та оборонної політики після Лісабонського договору. Російська анексія Криму та дестабілізація Донбасу у 2014 році стимулювали прийняття Глобальної стратегії ЄС (2016) та активізацію механізму постійного структурованого співробітництва (PESCO), проте радикальна трансформація безпекової політики ЄС відбулася лише після повномасштабного вторгнення Росії в Україну у лютому 2022 року.</w:t>
      </w:r>
    </w:p>
    <w:p w14:paraId="418673FA" w14:textId="1CBD6E45" w:rsidR="006533B3" w:rsidRPr="006533B3" w:rsidRDefault="006533B3" w:rsidP="006533B3">
      <w:pPr>
        <w:pStyle w:val="whitespace-normal"/>
        <w:spacing w:before="0" w:beforeAutospacing="0" w:after="0" w:afterAutospacing="0" w:line="360" w:lineRule="auto"/>
        <w:ind w:firstLine="709"/>
        <w:jc w:val="both"/>
        <w:rPr>
          <w:sz w:val="28"/>
          <w:szCs w:val="28"/>
        </w:rPr>
      </w:pPr>
      <w:r w:rsidRPr="006533B3">
        <w:rPr>
          <w:sz w:val="28"/>
          <w:szCs w:val="28"/>
        </w:rPr>
        <w:t xml:space="preserve">Інституційна система СПБО характеризується складною багаторівневою структурою, що поєднує міждержавні, наднаціональні та гібридні механізми прийняття рішень. Ключову роль у визначенні стратегічних напрямків розвитку СПБО відіграє Європейська Рада, тоді як операційне керівництво забезпечується Високим представником Союзу з питань закордонних справ і політики безпеки </w:t>
      </w:r>
      <w:r w:rsidRPr="006533B3">
        <w:rPr>
          <w:sz w:val="28"/>
          <w:szCs w:val="28"/>
        </w:rPr>
        <w:lastRenderedPageBreak/>
        <w:t>та спеціалізованими структурами: Політичним і безпековим комітетом, Військовим комітетом ЄС, Європейською службою зовнішньої дії та Європейським оборонним агентством. Особливістю інституційної архітектури європейської безпеки є збереження міждержавного характеру прийняття стратегічних рішень при поступовому посиленні наднаціональних елементів у сфері фінансування, планування та реалізації безпекових ініціатив .</w:t>
      </w:r>
    </w:p>
    <w:p w14:paraId="5E1C242C" w14:textId="678243ED" w:rsidR="006533B3" w:rsidRPr="006533B3" w:rsidRDefault="006533B3" w:rsidP="006533B3">
      <w:pPr>
        <w:pStyle w:val="whitespace-normal"/>
        <w:spacing w:before="0" w:beforeAutospacing="0" w:after="0" w:afterAutospacing="0" w:line="360" w:lineRule="auto"/>
        <w:ind w:firstLine="709"/>
        <w:jc w:val="both"/>
        <w:rPr>
          <w:sz w:val="28"/>
          <w:szCs w:val="28"/>
        </w:rPr>
      </w:pPr>
      <w:r w:rsidRPr="006533B3">
        <w:rPr>
          <w:sz w:val="28"/>
          <w:szCs w:val="28"/>
        </w:rPr>
        <w:t>Переосмислення стратегічних підходів та безпекових парадигм ЄС після початку повномасштабного російського вторгнення в Україну характеризується прискореною адаптацією до нової безпекової реальності, подоланням стратегічної наївності та формуванням більш прагматичного, реалістичного бачення викликів європейській безпеці. Ключовою характеристикою нової стратегічної парадигми ЄС стало усвідомлення необхідності розвитку комплексного підходу до безпеки, що поєднує традиційні військові інструменти з економічними, технологічними, енергетичними та інформаційними компонентами.</w:t>
      </w:r>
    </w:p>
    <w:p w14:paraId="78A48A77" w14:textId="5C709EA0" w:rsidR="006533B3" w:rsidRPr="006533B3" w:rsidRDefault="006533B3" w:rsidP="006533B3">
      <w:pPr>
        <w:pStyle w:val="whitespace-normal"/>
        <w:spacing w:before="0" w:beforeAutospacing="0" w:after="0" w:afterAutospacing="0" w:line="360" w:lineRule="auto"/>
        <w:ind w:firstLine="709"/>
        <w:jc w:val="both"/>
        <w:rPr>
          <w:sz w:val="28"/>
          <w:szCs w:val="28"/>
        </w:rPr>
      </w:pPr>
      <w:r w:rsidRPr="006533B3">
        <w:rPr>
          <w:sz w:val="28"/>
          <w:szCs w:val="28"/>
        </w:rPr>
        <w:t>Повномасштабна російська агресія проти України спричинила безпрецедентну інтенсифікацію військово-технічного співробітництва та суттєве збільшення оборонних бюджетів держав-членів ЄС. За даними Європейського оборонного агентства, сукупні оборонні витрати країн ЄС у 2022 році зросли на 6% у реальному вираженні порівняно з попереднім роком, досягнувши рекордного рівня 214 млрд євро. Трансформація оборонної політики ЄС проявилася також у зміні структури оборонних витрат у напрямку збільшення інвестицій у розвиток нових спроможностей та оновлення військової техніки, активізації механізму постійного структурованого співробітництва (PESCO) та створенні нових фінансових механізмів для підтримки оборонної промисловості.</w:t>
      </w:r>
    </w:p>
    <w:p w14:paraId="5B60F94E" w14:textId="7DA088C3" w:rsidR="006533B3" w:rsidRPr="006533B3" w:rsidRDefault="006533B3" w:rsidP="006533B3">
      <w:pPr>
        <w:pStyle w:val="whitespace-normal"/>
        <w:spacing w:before="0" w:beforeAutospacing="0" w:after="0" w:afterAutospacing="0" w:line="360" w:lineRule="auto"/>
        <w:ind w:firstLine="709"/>
        <w:jc w:val="both"/>
        <w:rPr>
          <w:sz w:val="28"/>
          <w:szCs w:val="28"/>
        </w:rPr>
      </w:pPr>
      <w:r w:rsidRPr="006533B3">
        <w:rPr>
          <w:sz w:val="28"/>
          <w:szCs w:val="28"/>
        </w:rPr>
        <w:t xml:space="preserve">Російська агресія стимулювала формування нових інституційних механізмів колективної безпеки ЄС, зокрема, Європейського фонду миру (EPF) як інструменту фінансування військової підтримки України, Військової допоміжної місії ЄС для України (EUMAM Ukraine), Робочої групи ЄС з питань спільних закупівель у сфері оборони та Ситуаційного центру ЄС з питань </w:t>
      </w:r>
      <w:r w:rsidRPr="006533B3">
        <w:rPr>
          <w:sz w:val="28"/>
          <w:szCs w:val="28"/>
        </w:rPr>
        <w:lastRenderedPageBreak/>
        <w:t>гібридних загроз. Інституційні трансформації охопили також процеси прийняття рішень у сфері безпеки та оборони, що проявилося у розширенні можливостей для застосування механізмів гнучкої інтеграції, активізації «конструктивного утримання» та формуванні «коаліцій бажаючих».</w:t>
      </w:r>
    </w:p>
    <w:p w14:paraId="32490BC4" w14:textId="5A5E2717" w:rsidR="006533B3" w:rsidRPr="006533B3" w:rsidRDefault="006533B3" w:rsidP="006533B3">
      <w:pPr>
        <w:pStyle w:val="whitespace-normal"/>
        <w:spacing w:before="0" w:beforeAutospacing="0" w:after="0" w:afterAutospacing="0" w:line="360" w:lineRule="auto"/>
        <w:ind w:firstLine="709"/>
        <w:jc w:val="both"/>
        <w:rPr>
          <w:sz w:val="28"/>
          <w:szCs w:val="28"/>
        </w:rPr>
      </w:pPr>
      <w:r w:rsidRPr="006533B3">
        <w:rPr>
          <w:sz w:val="28"/>
          <w:szCs w:val="28"/>
        </w:rPr>
        <w:t>Аналіз диверсифікації підходів держав-членів ЄС до посилення колективної безпеки свідчить про формування нового «європейського стратегічного консенсусу», що охоплює визнання Росії як системної загрози, необхідність збільшення оборонних витрат, комплементарність НАТО та СПБО, важливість посилення стійкості до гібридних загроз та необхідність розвитку європейської оборонної промислової бази. Водночас, зберігаються суттєві відмінності між стратегічними групами держав: країни «східного флангу» (Польща, Естонія, Латвія, Литва, Румунія) демонструють найбільш проактивний підхід до зміцнення оборонного потенціалу; «ключові держави» (Франція, Німеччина, Італія, Іспанія) акцентують увагу на розвитку європейських оборонних структур; нейтральні держави (Австрія, Ірландія, Мальта) фокусуються на невійськових аспектах безпеки.</w:t>
      </w:r>
    </w:p>
    <w:p w14:paraId="37551D4B" w14:textId="231F0019" w:rsidR="006533B3" w:rsidRPr="006533B3" w:rsidRDefault="006533B3" w:rsidP="006533B3">
      <w:pPr>
        <w:pStyle w:val="whitespace-normal"/>
        <w:spacing w:before="0" w:beforeAutospacing="0" w:after="0" w:afterAutospacing="0" w:line="360" w:lineRule="auto"/>
        <w:ind w:firstLine="709"/>
        <w:jc w:val="both"/>
        <w:rPr>
          <w:sz w:val="28"/>
          <w:szCs w:val="28"/>
        </w:rPr>
      </w:pPr>
      <w:r w:rsidRPr="006533B3">
        <w:rPr>
          <w:sz w:val="28"/>
          <w:szCs w:val="28"/>
        </w:rPr>
        <w:t>Перспективи розвитку оборонного потенціалу ЄС пов'язані з подоланням критичних прогалин у військових спроможностях, розвитком військової мобільності, консолідацією оборонної промисловості та технологічними інноваціями. Пріоритетними напрямками розвитку європейських оборонних спроможностей до 2030 року є створення інтегрованої системи протиповітряної оборони, розробка європейського танка нового покоління, реалізація програми винищувача шостого покоління (FCAS), розвиток безпілотних систем та квантових технологій безпечного зв'язку.</w:t>
      </w:r>
    </w:p>
    <w:p w14:paraId="57519DD6" w14:textId="7AB7C4E4" w:rsidR="006533B3" w:rsidRPr="006533B3" w:rsidRDefault="006533B3" w:rsidP="006533B3">
      <w:pPr>
        <w:pStyle w:val="whitespace-normal"/>
        <w:spacing w:before="0" w:beforeAutospacing="0" w:after="0" w:afterAutospacing="0" w:line="360" w:lineRule="auto"/>
        <w:ind w:firstLine="709"/>
        <w:jc w:val="both"/>
        <w:rPr>
          <w:sz w:val="28"/>
          <w:szCs w:val="28"/>
        </w:rPr>
      </w:pPr>
      <w:r w:rsidRPr="006533B3">
        <w:rPr>
          <w:sz w:val="28"/>
          <w:szCs w:val="28"/>
        </w:rPr>
        <w:t xml:space="preserve">Трансформація безпекового середовища в Європі після повномасштабного російського вторгнення в Україну характеризується ремілітаризацією європейського континенту, формуванням нових ліній геополітичного розлому, гібридизацією загроз, переосмисленням ролі економічної взаємозалежності та інтеграцією енергетичної безпеки до загальної архітектури європейської безпеки. Ця трансформація матиме довгострокові наслідки для європейської </w:t>
      </w:r>
      <w:r w:rsidRPr="006533B3">
        <w:rPr>
          <w:sz w:val="28"/>
          <w:szCs w:val="28"/>
        </w:rPr>
        <w:lastRenderedPageBreak/>
        <w:t>архітектури безпеки та визначатиме стратегічний контекст розвитку політики колективної безпеки ЄС на наступні десятиліття .</w:t>
      </w:r>
    </w:p>
    <w:p w14:paraId="7121018B" w14:textId="3C1F9835" w:rsidR="006533B3" w:rsidRPr="006533B3" w:rsidRDefault="006533B3" w:rsidP="006533B3">
      <w:pPr>
        <w:pStyle w:val="whitespace-normal"/>
        <w:spacing w:before="0" w:beforeAutospacing="0" w:after="0" w:afterAutospacing="0" w:line="360" w:lineRule="auto"/>
        <w:ind w:firstLine="709"/>
        <w:jc w:val="both"/>
        <w:rPr>
          <w:sz w:val="28"/>
          <w:szCs w:val="28"/>
        </w:rPr>
      </w:pPr>
      <w:r w:rsidRPr="006533B3">
        <w:rPr>
          <w:sz w:val="28"/>
          <w:szCs w:val="28"/>
        </w:rPr>
        <w:t>Російсько-українська війна створила вікно можливостей для фундаментального переосмислення та посилення політики колективної безпеки Європейського Союзу. Реалізація цього потенціалу залежатиме від здатності європейських лідерів підтримувати політичну єдність, забезпечувати стабільне фінансування оборонних ініціатив, долати інституційну фрагментацію та розвивати стратегічну культуру, орієнтовану на відповідальне використання військової сили для захисту європейських цінностей та інтересів. Відповідь ЄС на російську агресію проти України не лише визначить майбутнє європейської безпеки, але й матиме глобальні наслідки для міжнародного порядку та ролі Європи у формуванні нової системи колективної безпеки ХХІ століття.</w:t>
      </w:r>
    </w:p>
    <w:p w14:paraId="45697CEF" w14:textId="77777777" w:rsidR="006533B3" w:rsidRDefault="006533B3" w:rsidP="006533B3">
      <w:pPr>
        <w:ind w:firstLine="709"/>
        <w:jc w:val="both"/>
        <w:rPr>
          <w:szCs w:val="28"/>
          <w:lang w:val="uk-UA"/>
        </w:rPr>
      </w:pPr>
    </w:p>
    <w:p w14:paraId="2B0D8D9D" w14:textId="77777777" w:rsidR="00AE5AAF" w:rsidRDefault="00AE5AAF" w:rsidP="006533B3">
      <w:pPr>
        <w:ind w:firstLine="709"/>
        <w:jc w:val="both"/>
        <w:rPr>
          <w:szCs w:val="28"/>
          <w:lang w:val="uk-UA"/>
        </w:rPr>
      </w:pPr>
    </w:p>
    <w:p w14:paraId="5B17E973" w14:textId="77777777" w:rsidR="00AE5AAF" w:rsidRDefault="00AE5AAF" w:rsidP="006533B3">
      <w:pPr>
        <w:ind w:firstLine="709"/>
        <w:jc w:val="both"/>
        <w:rPr>
          <w:szCs w:val="28"/>
          <w:lang w:val="uk-UA"/>
        </w:rPr>
      </w:pPr>
    </w:p>
    <w:p w14:paraId="701D8F84" w14:textId="77777777" w:rsidR="00AE5AAF" w:rsidRDefault="00AE5AAF" w:rsidP="006533B3">
      <w:pPr>
        <w:ind w:firstLine="709"/>
        <w:jc w:val="both"/>
        <w:rPr>
          <w:szCs w:val="28"/>
          <w:lang w:val="uk-UA"/>
        </w:rPr>
      </w:pPr>
    </w:p>
    <w:p w14:paraId="5CB91331" w14:textId="77777777" w:rsidR="00AE5AAF" w:rsidRDefault="00AE5AAF" w:rsidP="006533B3">
      <w:pPr>
        <w:ind w:firstLine="709"/>
        <w:jc w:val="both"/>
        <w:rPr>
          <w:szCs w:val="28"/>
          <w:lang w:val="uk-UA"/>
        </w:rPr>
      </w:pPr>
    </w:p>
    <w:p w14:paraId="12314E0D" w14:textId="77777777" w:rsidR="00AE5AAF" w:rsidRDefault="00AE5AAF" w:rsidP="006533B3">
      <w:pPr>
        <w:ind w:firstLine="709"/>
        <w:jc w:val="both"/>
        <w:rPr>
          <w:szCs w:val="28"/>
          <w:lang w:val="uk-UA"/>
        </w:rPr>
      </w:pPr>
    </w:p>
    <w:p w14:paraId="7C1230CF" w14:textId="77777777" w:rsidR="00AE5AAF" w:rsidRDefault="00AE5AAF" w:rsidP="006533B3">
      <w:pPr>
        <w:ind w:firstLine="709"/>
        <w:jc w:val="both"/>
        <w:rPr>
          <w:szCs w:val="28"/>
          <w:lang w:val="uk-UA"/>
        </w:rPr>
      </w:pPr>
    </w:p>
    <w:p w14:paraId="2B4A99AF" w14:textId="77777777" w:rsidR="00AE5AAF" w:rsidRDefault="00AE5AAF" w:rsidP="006533B3">
      <w:pPr>
        <w:ind w:firstLine="709"/>
        <w:jc w:val="both"/>
        <w:rPr>
          <w:szCs w:val="28"/>
          <w:lang w:val="uk-UA"/>
        </w:rPr>
      </w:pPr>
    </w:p>
    <w:p w14:paraId="7CB05BCA" w14:textId="77777777" w:rsidR="00AE5AAF" w:rsidRDefault="00AE5AAF" w:rsidP="006533B3">
      <w:pPr>
        <w:ind w:firstLine="709"/>
        <w:jc w:val="both"/>
        <w:rPr>
          <w:szCs w:val="28"/>
          <w:lang w:val="uk-UA"/>
        </w:rPr>
      </w:pPr>
    </w:p>
    <w:p w14:paraId="62D44647" w14:textId="77777777" w:rsidR="00AE5AAF" w:rsidRDefault="00AE5AAF" w:rsidP="006533B3">
      <w:pPr>
        <w:ind w:firstLine="709"/>
        <w:jc w:val="both"/>
        <w:rPr>
          <w:szCs w:val="28"/>
          <w:lang w:val="uk-UA"/>
        </w:rPr>
      </w:pPr>
    </w:p>
    <w:p w14:paraId="7BA27FDA" w14:textId="77777777" w:rsidR="00AE5AAF" w:rsidRDefault="00AE5AAF" w:rsidP="006533B3">
      <w:pPr>
        <w:ind w:firstLine="709"/>
        <w:jc w:val="both"/>
        <w:rPr>
          <w:szCs w:val="28"/>
          <w:lang w:val="uk-UA"/>
        </w:rPr>
      </w:pPr>
    </w:p>
    <w:p w14:paraId="0F53BAE0" w14:textId="77777777" w:rsidR="00AE5AAF" w:rsidRDefault="00AE5AAF" w:rsidP="006533B3">
      <w:pPr>
        <w:ind w:firstLine="709"/>
        <w:jc w:val="both"/>
        <w:rPr>
          <w:szCs w:val="28"/>
          <w:lang w:val="uk-UA"/>
        </w:rPr>
      </w:pPr>
    </w:p>
    <w:p w14:paraId="772EE5DB" w14:textId="77777777" w:rsidR="00AE5AAF" w:rsidRDefault="00AE5AAF" w:rsidP="006533B3">
      <w:pPr>
        <w:ind w:firstLine="709"/>
        <w:jc w:val="both"/>
        <w:rPr>
          <w:szCs w:val="28"/>
          <w:lang w:val="uk-UA"/>
        </w:rPr>
      </w:pPr>
    </w:p>
    <w:p w14:paraId="56671C9F" w14:textId="77777777" w:rsidR="00AE5AAF" w:rsidRDefault="00AE5AAF" w:rsidP="006533B3">
      <w:pPr>
        <w:ind w:firstLine="709"/>
        <w:jc w:val="both"/>
        <w:rPr>
          <w:szCs w:val="28"/>
          <w:lang w:val="uk-UA"/>
        </w:rPr>
      </w:pPr>
    </w:p>
    <w:p w14:paraId="4646BDC7" w14:textId="77777777" w:rsidR="00AE5AAF" w:rsidRDefault="00AE5AAF" w:rsidP="006533B3">
      <w:pPr>
        <w:ind w:firstLine="709"/>
        <w:jc w:val="both"/>
        <w:rPr>
          <w:szCs w:val="28"/>
          <w:lang w:val="uk-UA"/>
        </w:rPr>
      </w:pPr>
    </w:p>
    <w:p w14:paraId="395EA8D3" w14:textId="77777777" w:rsidR="00AE5AAF" w:rsidRDefault="00AE5AAF" w:rsidP="006533B3">
      <w:pPr>
        <w:ind w:firstLine="709"/>
        <w:jc w:val="both"/>
        <w:rPr>
          <w:szCs w:val="28"/>
          <w:lang w:val="uk-UA"/>
        </w:rPr>
      </w:pPr>
    </w:p>
    <w:p w14:paraId="5A5FC8B6" w14:textId="77777777" w:rsidR="00AE5AAF" w:rsidRDefault="00AE5AAF" w:rsidP="006533B3">
      <w:pPr>
        <w:ind w:firstLine="709"/>
        <w:jc w:val="both"/>
        <w:rPr>
          <w:szCs w:val="28"/>
          <w:lang w:val="uk-UA"/>
        </w:rPr>
      </w:pPr>
    </w:p>
    <w:p w14:paraId="51A80EC3" w14:textId="77777777" w:rsidR="00AE5AAF" w:rsidRDefault="00AE5AAF" w:rsidP="006533B3">
      <w:pPr>
        <w:ind w:firstLine="709"/>
        <w:jc w:val="both"/>
        <w:rPr>
          <w:szCs w:val="28"/>
          <w:lang w:val="uk-UA"/>
        </w:rPr>
      </w:pPr>
    </w:p>
    <w:p w14:paraId="58DA7317" w14:textId="22E071DD" w:rsidR="00AE5AAF" w:rsidRDefault="00313D00" w:rsidP="00313D00">
      <w:pPr>
        <w:pStyle w:val="1"/>
        <w:rPr>
          <w:lang w:val="uk-UA"/>
        </w:rPr>
      </w:pPr>
      <w:bookmarkStart w:id="14" w:name="_Toc198089422"/>
      <w:r>
        <w:rPr>
          <w:lang w:val="uk-UA"/>
        </w:rPr>
        <w:lastRenderedPageBreak/>
        <w:t>СПИСОК ВИКОРИСТАНИХ ДЖЕРЕЛ</w:t>
      </w:r>
      <w:bookmarkEnd w:id="14"/>
    </w:p>
    <w:p w14:paraId="3A481502" w14:textId="77777777" w:rsidR="00313D00" w:rsidRDefault="00313D00" w:rsidP="00313D00">
      <w:pPr>
        <w:autoSpaceDE w:val="0"/>
        <w:autoSpaceDN w:val="0"/>
        <w:adjustRightInd w:val="0"/>
        <w:spacing w:line="240" w:lineRule="auto"/>
        <w:jc w:val="left"/>
        <w:rPr>
          <w:rFonts w:ascii="AppleSystemUIFont" w:hAnsi="AppleSystemUIFont" w:cs="AppleSystemUIFont"/>
          <w:b/>
          <w:bCs/>
          <w:sz w:val="40"/>
          <w:szCs w:val="40"/>
          <w:lang w:val="en-US"/>
        </w:rPr>
      </w:pPr>
    </w:p>
    <w:p w14:paraId="67321BB3" w14:textId="77777777" w:rsidR="00313D00" w:rsidRPr="00313D00" w:rsidRDefault="00313D00" w:rsidP="00313D00">
      <w:pPr>
        <w:pStyle w:val="a5"/>
        <w:numPr>
          <w:ilvl w:val="0"/>
          <w:numId w:val="9"/>
        </w:numPr>
        <w:autoSpaceDE w:val="0"/>
        <w:autoSpaceDN w:val="0"/>
        <w:adjustRightInd w:val="0"/>
        <w:jc w:val="both"/>
        <w:rPr>
          <w:rFonts w:cs="Times New Roman"/>
          <w:szCs w:val="28"/>
          <w:lang w:val="en-US"/>
        </w:rPr>
      </w:pPr>
      <w:proofErr w:type="spellStart"/>
      <w:r w:rsidRPr="00CE22B8">
        <w:rPr>
          <w:rFonts w:cs="Times New Roman"/>
          <w:szCs w:val="28"/>
        </w:rPr>
        <w:t>Веббер</w:t>
      </w:r>
      <w:proofErr w:type="spellEnd"/>
      <w:r w:rsidRPr="00CE22B8">
        <w:rPr>
          <w:rFonts w:cs="Times New Roman"/>
          <w:szCs w:val="28"/>
        </w:rPr>
        <w:t xml:space="preserve"> М. </w:t>
      </w:r>
      <w:proofErr w:type="spellStart"/>
      <w:r w:rsidRPr="00CE22B8">
        <w:rPr>
          <w:rFonts w:cs="Times New Roman"/>
          <w:szCs w:val="28"/>
        </w:rPr>
        <w:t>Продовження</w:t>
      </w:r>
      <w:proofErr w:type="spellEnd"/>
      <w:r w:rsidRPr="00CE22B8">
        <w:rPr>
          <w:rFonts w:cs="Times New Roman"/>
          <w:szCs w:val="28"/>
        </w:rPr>
        <w:t xml:space="preserve"> НАТО: </w:t>
      </w:r>
      <w:proofErr w:type="spellStart"/>
      <w:r w:rsidRPr="00CE22B8">
        <w:rPr>
          <w:rFonts w:cs="Times New Roman"/>
          <w:szCs w:val="28"/>
        </w:rPr>
        <w:t>пенсійний</w:t>
      </w:r>
      <w:proofErr w:type="spellEnd"/>
      <w:r w:rsidRPr="00CE22B8">
        <w:rPr>
          <w:rFonts w:cs="Times New Roman"/>
          <w:szCs w:val="28"/>
        </w:rPr>
        <w:t xml:space="preserve"> план не </w:t>
      </w:r>
      <w:proofErr w:type="spellStart"/>
      <w:r w:rsidRPr="00CE22B8">
        <w:rPr>
          <w:rFonts w:cs="Times New Roman"/>
          <w:szCs w:val="28"/>
        </w:rPr>
        <w:t>потрібен</w:t>
      </w:r>
      <w:proofErr w:type="spellEnd"/>
      <w:r w:rsidRPr="00CE22B8">
        <w:rPr>
          <w:rFonts w:cs="Times New Roman"/>
          <w:szCs w:val="28"/>
        </w:rPr>
        <w:t xml:space="preserve">. </w:t>
      </w:r>
      <w:r w:rsidRPr="00313D00">
        <w:rPr>
          <w:rFonts w:cs="Times New Roman"/>
          <w:szCs w:val="28"/>
          <w:lang w:val="en-US"/>
        </w:rPr>
        <w:t xml:space="preserve">NATO REVIEW. 2022. URL: </w:t>
      </w:r>
      <w:hyperlink r:id="rId8" w:history="1">
        <w:r w:rsidRPr="00313D00">
          <w:rPr>
            <w:rFonts w:cs="Times New Roman"/>
            <w:szCs w:val="28"/>
            <w:u w:val="single"/>
            <w:lang w:val="en-US"/>
          </w:rPr>
          <w:t>https://www.nato.int/docu/review/uk/articles/2022/04/04/prodovyoennya-nato-pensjnij-plan-ne-potrben/index.html</w:t>
        </w:r>
      </w:hyperlink>
      <w:r w:rsidRPr="00313D00">
        <w:rPr>
          <w:rFonts w:cs="Times New Roman"/>
          <w:szCs w:val="28"/>
          <w:lang w:val="en-US"/>
        </w:rPr>
        <w:t xml:space="preserve"> (</w:t>
      </w:r>
      <w:proofErr w:type="spellStart"/>
      <w:r w:rsidRPr="00313D00">
        <w:rPr>
          <w:rFonts w:cs="Times New Roman"/>
          <w:szCs w:val="28"/>
          <w:lang w:val="en-US"/>
        </w:rPr>
        <w:t>дата</w:t>
      </w:r>
      <w:proofErr w:type="spellEnd"/>
      <w:r w:rsidRPr="00313D00">
        <w:rPr>
          <w:rFonts w:cs="Times New Roman"/>
          <w:szCs w:val="28"/>
          <w:lang w:val="en-US"/>
        </w:rPr>
        <w:t xml:space="preserve"> </w:t>
      </w:r>
      <w:proofErr w:type="spellStart"/>
      <w:r w:rsidRPr="00313D00">
        <w:rPr>
          <w:rFonts w:cs="Times New Roman"/>
          <w:szCs w:val="28"/>
          <w:lang w:val="en-US"/>
        </w:rPr>
        <w:t>звернення</w:t>
      </w:r>
      <w:proofErr w:type="spellEnd"/>
      <w:r w:rsidRPr="00313D00">
        <w:rPr>
          <w:rFonts w:cs="Times New Roman"/>
          <w:szCs w:val="28"/>
          <w:lang w:val="en-US"/>
        </w:rPr>
        <w:t>: 14.05.2025).</w:t>
      </w:r>
    </w:p>
    <w:p w14:paraId="085D896F" w14:textId="77777777" w:rsidR="00313D00" w:rsidRPr="00CE22B8" w:rsidRDefault="00313D00" w:rsidP="00313D00">
      <w:pPr>
        <w:pStyle w:val="a5"/>
        <w:numPr>
          <w:ilvl w:val="0"/>
          <w:numId w:val="9"/>
        </w:numPr>
        <w:autoSpaceDE w:val="0"/>
        <w:autoSpaceDN w:val="0"/>
        <w:adjustRightInd w:val="0"/>
        <w:jc w:val="both"/>
        <w:rPr>
          <w:rFonts w:cs="Times New Roman"/>
          <w:szCs w:val="28"/>
        </w:rPr>
      </w:pPr>
      <w:proofErr w:type="spellStart"/>
      <w:r w:rsidRPr="00CE22B8">
        <w:rPr>
          <w:rFonts w:cs="Times New Roman"/>
          <w:szCs w:val="28"/>
        </w:rPr>
        <w:t>Відносини</w:t>
      </w:r>
      <w:proofErr w:type="spellEnd"/>
      <w:r w:rsidRPr="00CE22B8">
        <w:rPr>
          <w:rFonts w:cs="Times New Roman"/>
          <w:szCs w:val="28"/>
        </w:rPr>
        <w:t xml:space="preserve"> з </w:t>
      </w:r>
      <w:proofErr w:type="spellStart"/>
      <w:r w:rsidRPr="00CE22B8">
        <w:rPr>
          <w:rFonts w:cs="Times New Roman"/>
          <w:szCs w:val="28"/>
        </w:rPr>
        <w:t>Україною</w:t>
      </w:r>
      <w:proofErr w:type="spellEnd"/>
      <w:r w:rsidRPr="00CE22B8">
        <w:rPr>
          <w:rFonts w:cs="Times New Roman"/>
          <w:szCs w:val="28"/>
        </w:rPr>
        <w:t xml:space="preserve">. Сайт </w:t>
      </w:r>
      <w:proofErr w:type="spellStart"/>
      <w:r w:rsidRPr="00CE22B8">
        <w:rPr>
          <w:rFonts w:cs="Times New Roman"/>
          <w:szCs w:val="28"/>
        </w:rPr>
        <w:t>Організації</w:t>
      </w:r>
      <w:proofErr w:type="spellEnd"/>
      <w:r w:rsidRPr="00CE22B8">
        <w:rPr>
          <w:rFonts w:cs="Times New Roman"/>
          <w:szCs w:val="28"/>
        </w:rPr>
        <w:t xml:space="preserve"> </w:t>
      </w:r>
      <w:proofErr w:type="spellStart"/>
      <w:r w:rsidRPr="00CE22B8">
        <w:rPr>
          <w:rFonts w:cs="Times New Roman"/>
          <w:szCs w:val="28"/>
        </w:rPr>
        <w:t>Північноатлантичного</w:t>
      </w:r>
      <w:proofErr w:type="spellEnd"/>
      <w:r w:rsidRPr="00CE22B8">
        <w:rPr>
          <w:rFonts w:cs="Times New Roman"/>
          <w:szCs w:val="28"/>
        </w:rPr>
        <w:t xml:space="preserve"> договору. 2023. </w:t>
      </w:r>
      <w:r w:rsidRPr="00313D00">
        <w:rPr>
          <w:rFonts w:cs="Times New Roman"/>
          <w:szCs w:val="28"/>
          <w:lang w:val="en-US"/>
        </w:rPr>
        <w:t>URL</w:t>
      </w:r>
      <w:r w:rsidRPr="00CE22B8">
        <w:rPr>
          <w:rFonts w:cs="Times New Roman"/>
          <w:szCs w:val="28"/>
        </w:rPr>
        <w:t xml:space="preserve">: </w:t>
      </w:r>
      <w:hyperlink r:id="rId9" w:history="1">
        <w:r w:rsidRPr="00313D00">
          <w:rPr>
            <w:rFonts w:cs="Times New Roman"/>
            <w:szCs w:val="28"/>
            <w:u w:val="single"/>
            <w:lang w:val="en-US"/>
          </w:rPr>
          <w:t>https</w:t>
        </w:r>
        <w:r w:rsidRPr="00CE22B8">
          <w:rPr>
            <w:rFonts w:cs="Times New Roman"/>
            <w:szCs w:val="28"/>
            <w:u w:val="single"/>
          </w:rPr>
          <w:t>://</w:t>
        </w:r>
        <w:r w:rsidRPr="00313D00">
          <w:rPr>
            <w:rFonts w:cs="Times New Roman"/>
            <w:szCs w:val="28"/>
            <w:u w:val="single"/>
            <w:lang w:val="en-US"/>
          </w:rPr>
          <w:t>www</w:t>
        </w:r>
        <w:r w:rsidRPr="00CE22B8">
          <w:rPr>
            <w:rFonts w:cs="Times New Roman"/>
            <w:szCs w:val="28"/>
            <w:u w:val="single"/>
          </w:rPr>
          <w:t>.</w:t>
        </w:r>
        <w:proofErr w:type="spellStart"/>
        <w:r w:rsidRPr="00313D00">
          <w:rPr>
            <w:rFonts w:cs="Times New Roman"/>
            <w:szCs w:val="28"/>
            <w:u w:val="single"/>
            <w:lang w:val="en-US"/>
          </w:rPr>
          <w:t>nato</w:t>
        </w:r>
        <w:proofErr w:type="spellEnd"/>
        <w:r w:rsidRPr="00CE22B8">
          <w:rPr>
            <w:rFonts w:cs="Times New Roman"/>
            <w:szCs w:val="28"/>
            <w:u w:val="single"/>
          </w:rPr>
          <w:t>.</w:t>
        </w:r>
        <w:r w:rsidRPr="00313D00">
          <w:rPr>
            <w:rFonts w:cs="Times New Roman"/>
            <w:szCs w:val="28"/>
            <w:u w:val="single"/>
            <w:lang w:val="en-US"/>
          </w:rPr>
          <w:t>int</w:t>
        </w:r>
        <w:r w:rsidRPr="00CE22B8">
          <w:rPr>
            <w:rFonts w:cs="Times New Roman"/>
            <w:szCs w:val="28"/>
            <w:u w:val="single"/>
          </w:rPr>
          <w:t>/</w:t>
        </w:r>
        <w:r w:rsidRPr="00313D00">
          <w:rPr>
            <w:rFonts w:cs="Times New Roman"/>
            <w:szCs w:val="28"/>
            <w:u w:val="single"/>
            <w:lang w:val="en-US"/>
          </w:rPr>
          <w:t>cps</w:t>
        </w:r>
        <w:r w:rsidRPr="00CE22B8">
          <w:rPr>
            <w:rFonts w:cs="Times New Roman"/>
            <w:szCs w:val="28"/>
            <w:u w:val="single"/>
          </w:rPr>
          <w:t>/</w:t>
        </w:r>
        <w:proofErr w:type="spellStart"/>
        <w:r w:rsidRPr="00313D00">
          <w:rPr>
            <w:rFonts w:cs="Times New Roman"/>
            <w:szCs w:val="28"/>
            <w:u w:val="single"/>
            <w:lang w:val="en-US"/>
          </w:rPr>
          <w:t>uk</w:t>
        </w:r>
        <w:proofErr w:type="spellEnd"/>
        <w:r w:rsidRPr="00CE22B8">
          <w:rPr>
            <w:rFonts w:cs="Times New Roman"/>
            <w:szCs w:val="28"/>
            <w:u w:val="single"/>
          </w:rPr>
          <w:t>/</w:t>
        </w:r>
        <w:proofErr w:type="spellStart"/>
        <w:r w:rsidRPr="00313D00">
          <w:rPr>
            <w:rFonts w:cs="Times New Roman"/>
            <w:szCs w:val="28"/>
            <w:u w:val="single"/>
            <w:lang w:val="en-US"/>
          </w:rPr>
          <w:t>natohq</w:t>
        </w:r>
        <w:proofErr w:type="spellEnd"/>
        <w:r w:rsidRPr="00CE22B8">
          <w:rPr>
            <w:rFonts w:cs="Times New Roman"/>
            <w:szCs w:val="28"/>
            <w:u w:val="single"/>
          </w:rPr>
          <w:t>/</w:t>
        </w:r>
        <w:r w:rsidRPr="00313D00">
          <w:rPr>
            <w:rFonts w:cs="Times New Roman"/>
            <w:szCs w:val="28"/>
            <w:u w:val="single"/>
            <w:lang w:val="en-US"/>
          </w:rPr>
          <w:t>topics</w:t>
        </w:r>
        <w:r w:rsidRPr="00CE22B8">
          <w:rPr>
            <w:rFonts w:cs="Times New Roman"/>
            <w:szCs w:val="28"/>
            <w:u w:val="single"/>
          </w:rPr>
          <w:t>_37750.</w:t>
        </w:r>
        <w:r w:rsidRPr="00313D00">
          <w:rPr>
            <w:rFonts w:cs="Times New Roman"/>
            <w:szCs w:val="28"/>
            <w:u w:val="single"/>
            <w:lang w:val="en-US"/>
          </w:rPr>
          <w:t>htm</w:t>
        </w:r>
      </w:hyperlink>
      <w:r w:rsidRPr="00CE22B8">
        <w:rPr>
          <w:rFonts w:cs="Times New Roman"/>
          <w:szCs w:val="28"/>
        </w:rPr>
        <w:t xml:space="preserve"> (дата </w:t>
      </w:r>
      <w:proofErr w:type="spellStart"/>
      <w:r w:rsidRPr="00CE22B8">
        <w:rPr>
          <w:rFonts w:cs="Times New Roman"/>
          <w:szCs w:val="28"/>
        </w:rPr>
        <w:t>звернення</w:t>
      </w:r>
      <w:proofErr w:type="spellEnd"/>
      <w:r w:rsidRPr="00CE22B8">
        <w:rPr>
          <w:rFonts w:cs="Times New Roman"/>
          <w:szCs w:val="28"/>
        </w:rPr>
        <w:t>: 14.05.2025).</w:t>
      </w:r>
    </w:p>
    <w:p w14:paraId="076E0DEB" w14:textId="77777777" w:rsidR="00313D00" w:rsidRPr="00CE22B8" w:rsidRDefault="00313D00" w:rsidP="00313D00">
      <w:pPr>
        <w:pStyle w:val="a5"/>
        <w:numPr>
          <w:ilvl w:val="0"/>
          <w:numId w:val="9"/>
        </w:numPr>
        <w:autoSpaceDE w:val="0"/>
        <w:autoSpaceDN w:val="0"/>
        <w:adjustRightInd w:val="0"/>
        <w:jc w:val="both"/>
        <w:rPr>
          <w:rFonts w:cs="Times New Roman"/>
          <w:szCs w:val="28"/>
        </w:rPr>
      </w:pPr>
      <w:proofErr w:type="spellStart"/>
      <w:r w:rsidRPr="00CE22B8">
        <w:rPr>
          <w:rFonts w:cs="Times New Roman"/>
          <w:szCs w:val="28"/>
        </w:rPr>
        <w:t>Вступ</w:t>
      </w:r>
      <w:proofErr w:type="spellEnd"/>
      <w:r w:rsidRPr="00CE22B8">
        <w:rPr>
          <w:rFonts w:cs="Times New Roman"/>
          <w:szCs w:val="28"/>
        </w:rPr>
        <w:t xml:space="preserve"> </w:t>
      </w:r>
      <w:proofErr w:type="spellStart"/>
      <w:r w:rsidRPr="00CE22B8">
        <w:rPr>
          <w:rFonts w:cs="Times New Roman"/>
          <w:szCs w:val="28"/>
        </w:rPr>
        <w:t>України</w:t>
      </w:r>
      <w:proofErr w:type="spellEnd"/>
      <w:r w:rsidRPr="00CE22B8">
        <w:rPr>
          <w:rFonts w:cs="Times New Roman"/>
          <w:szCs w:val="28"/>
        </w:rPr>
        <w:t xml:space="preserve"> в НАТО до </w:t>
      </w:r>
      <w:proofErr w:type="spellStart"/>
      <w:r w:rsidRPr="00CE22B8">
        <w:rPr>
          <w:rFonts w:cs="Times New Roman"/>
          <w:szCs w:val="28"/>
        </w:rPr>
        <w:t>кінця</w:t>
      </w:r>
      <w:proofErr w:type="spellEnd"/>
      <w:r w:rsidRPr="00CE22B8">
        <w:rPr>
          <w:rFonts w:cs="Times New Roman"/>
          <w:szCs w:val="28"/>
        </w:rPr>
        <w:t xml:space="preserve"> </w:t>
      </w:r>
      <w:proofErr w:type="spellStart"/>
      <w:r w:rsidRPr="00CE22B8">
        <w:rPr>
          <w:rFonts w:cs="Times New Roman"/>
          <w:szCs w:val="28"/>
        </w:rPr>
        <w:t>війни</w:t>
      </w:r>
      <w:proofErr w:type="spellEnd"/>
      <w:r w:rsidRPr="00CE22B8">
        <w:rPr>
          <w:rFonts w:cs="Times New Roman"/>
          <w:szCs w:val="28"/>
        </w:rPr>
        <w:t xml:space="preserve">: </w:t>
      </w:r>
      <w:proofErr w:type="spellStart"/>
      <w:r w:rsidRPr="00CE22B8">
        <w:rPr>
          <w:rFonts w:cs="Times New Roman"/>
          <w:szCs w:val="28"/>
        </w:rPr>
        <w:t>деталі</w:t>
      </w:r>
      <w:proofErr w:type="spellEnd"/>
      <w:r w:rsidRPr="00CE22B8">
        <w:rPr>
          <w:rFonts w:cs="Times New Roman"/>
          <w:szCs w:val="28"/>
        </w:rPr>
        <w:t xml:space="preserve"> </w:t>
      </w:r>
      <w:proofErr w:type="spellStart"/>
      <w:r w:rsidRPr="00CE22B8">
        <w:rPr>
          <w:rFonts w:cs="Times New Roman"/>
          <w:szCs w:val="28"/>
        </w:rPr>
        <w:t>нової</w:t>
      </w:r>
      <w:proofErr w:type="spellEnd"/>
      <w:r w:rsidRPr="00CE22B8">
        <w:rPr>
          <w:rFonts w:cs="Times New Roman"/>
          <w:szCs w:val="28"/>
        </w:rPr>
        <w:t xml:space="preserve"> </w:t>
      </w:r>
      <w:proofErr w:type="spellStart"/>
      <w:r w:rsidRPr="00CE22B8">
        <w:rPr>
          <w:rFonts w:cs="Times New Roman"/>
          <w:szCs w:val="28"/>
        </w:rPr>
        <w:t>пропозиції</w:t>
      </w:r>
      <w:proofErr w:type="spellEnd"/>
      <w:r w:rsidRPr="00CE22B8">
        <w:rPr>
          <w:rFonts w:cs="Times New Roman"/>
          <w:szCs w:val="28"/>
        </w:rPr>
        <w:t xml:space="preserve"> про </w:t>
      </w:r>
      <w:proofErr w:type="spellStart"/>
      <w:r w:rsidRPr="00CE22B8">
        <w:rPr>
          <w:rFonts w:cs="Times New Roman"/>
          <w:szCs w:val="28"/>
        </w:rPr>
        <w:t>розширення</w:t>
      </w:r>
      <w:proofErr w:type="spellEnd"/>
      <w:r w:rsidRPr="00CE22B8">
        <w:rPr>
          <w:rFonts w:cs="Times New Roman"/>
          <w:szCs w:val="28"/>
        </w:rPr>
        <w:t xml:space="preserve"> Альянсу. </w:t>
      </w:r>
      <w:proofErr w:type="spellStart"/>
      <w:r w:rsidRPr="00CE22B8">
        <w:rPr>
          <w:rFonts w:cs="Times New Roman"/>
          <w:szCs w:val="28"/>
        </w:rPr>
        <w:t>Європейська</w:t>
      </w:r>
      <w:proofErr w:type="spellEnd"/>
      <w:r w:rsidRPr="00CE22B8">
        <w:rPr>
          <w:rFonts w:cs="Times New Roman"/>
          <w:szCs w:val="28"/>
        </w:rPr>
        <w:t xml:space="preserve"> правда. 2023. </w:t>
      </w:r>
      <w:r w:rsidRPr="00313D00">
        <w:rPr>
          <w:rFonts w:cs="Times New Roman"/>
          <w:szCs w:val="28"/>
          <w:lang w:val="en-US"/>
        </w:rPr>
        <w:t>URL</w:t>
      </w:r>
      <w:r w:rsidRPr="00CE22B8">
        <w:rPr>
          <w:rFonts w:cs="Times New Roman"/>
          <w:szCs w:val="28"/>
        </w:rPr>
        <w:t xml:space="preserve">: </w:t>
      </w:r>
      <w:hyperlink r:id="rId10" w:history="1">
        <w:r w:rsidRPr="00313D00">
          <w:rPr>
            <w:rFonts w:cs="Times New Roman"/>
            <w:szCs w:val="28"/>
            <w:u w:val="single"/>
            <w:lang w:val="en-US"/>
          </w:rPr>
          <w:t>https</w:t>
        </w:r>
        <w:r w:rsidRPr="00CE22B8">
          <w:rPr>
            <w:rFonts w:cs="Times New Roman"/>
            <w:szCs w:val="28"/>
            <w:u w:val="single"/>
          </w:rPr>
          <w:t>://</w:t>
        </w:r>
        <w:r w:rsidRPr="00313D00">
          <w:rPr>
            <w:rFonts w:cs="Times New Roman"/>
            <w:szCs w:val="28"/>
            <w:u w:val="single"/>
            <w:lang w:val="en-US"/>
          </w:rPr>
          <w:t>www</w:t>
        </w:r>
        <w:r w:rsidRPr="00CE22B8">
          <w:rPr>
            <w:rFonts w:cs="Times New Roman"/>
            <w:szCs w:val="28"/>
            <w:u w:val="single"/>
          </w:rPr>
          <w:t>.</w:t>
        </w:r>
        <w:proofErr w:type="spellStart"/>
        <w:r w:rsidRPr="00313D00">
          <w:rPr>
            <w:rFonts w:cs="Times New Roman"/>
            <w:szCs w:val="28"/>
            <w:u w:val="single"/>
            <w:lang w:val="en-US"/>
          </w:rPr>
          <w:t>eurointegration</w:t>
        </w:r>
        <w:proofErr w:type="spellEnd"/>
        <w:r w:rsidRPr="00CE22B8">
          <w:rPr>
            <w:rFonts w:cs="Times New Roman"/>
            <w:szCs w:val="28"/>
            <w:u w:val="single"/>
          </w:rPr>
          <w:t>.</w:t>
        </w:r>
        <w:r w:rsidRPr="00313D00">
          <w:rPr>
            <w:rFonts w:cs="Times New Roman"/>
            <w:szCs w:val="28"/>
            <w:u w:val="single"/>
            <w:lang w:val="en-US"/>
          </w:rPr>
          <w:t>com</w:t>
        </w:r>
        <w:r w:rsidRPr="00CE22B8">
          <w:rPr>
            <w:rFonts w:cs="Times New Roman"/>
            <w:szCs w:val="28"/>
            <w:u w:val="single"/>
          </w:rPr>
          <w:t>.</w:t>
        </w:r>
        <w:proofErr w:type="spellStart"/>
        <w:r w:rsidRPr="00313D00">
          <w:rPr>
            <w:rFonts w:cs="Times New Roman"/>
            <w:szCs w:val="28"/>
            <w:u w:val="single"/>
            <w:lang w:val="en-US"/>
          </w:rPr>
          <w:t>ua</w:t>
        </w:r>
        <w:proofErr w:type="spellEnd"/>
        <w:r w:rsidRPr="00CE22B8">
          <w:rPr>
            <w:rFonts w:cs="Times New Roman"/>
            <w:szCs w:val="28"/>
            <w:u w:val="single"/>
          </w:rPr>
          <w:t>/</w:t>
        </w:r>
        <w:r w:rsidRPr="00313D00">
          <w:rPr>
            <w:rFonts w:cs="Times New Roman"/>
            <w:szCs w:val="28"/>
            <w:u w:val="single"/>
            <w:lang w:val="en-US"/>
          </w:rPr>
          <w:t>articles</w:t>
        </w:r>
        <w:r w:rsidRPr="00CE22B8">
          <w:rPr>
            <w:rFonts w:cs="Times New Roman"/>
            <w:szCs w:val="28"/>
            <w:u w:val="single"/>
          </w:rPr>
          <w:t>/2023/02/23/7156788/</w:t>
        </w:r>
      </w:hyperlink>
      <w:r w:rsidRPr="00CE22B8">
        <w:rPr>
          <w:rFonts w:cs="Times New Roman"/>
          <w:szCs w:val="28"/>
        </w:rPr>
        <w:t xml:space="preserve"> (дата </w:t>
      </w:r>
      <w:proofErr w:type="spellStart"/>
      <w:r w:rsidRPr="00CE22B8">
        <w:rPr>
          <w:rFonts w:cs="Times New Roman"/>
          <w:szCs w:val="28"/>
        </w:rPr>
        <w:t>звернення</w:t>
      </w:r>
      <w:proofErr w:type="spellEnd"/>
      <w:r w:rsidRPr="00CE22B8">
        <w:rPr>
          <w:rFonts w:cs="Times New Roman"/>
          <w:szCs w:val="28"/>
        </w:rPr>
        <w:t>: 14.05.2025).</w:t>
      </w:r>
    </w:p>
    <w:p w14:paraId="24189264" w14:textId="77777777" w:rsidR="00313D00" w:rsidRPr="00CE22B8" w:rsidRDefault="00313D00" w:rsidP="00313D00">
      <w:pPr>
        <w:pStyle w:val="a5"/>
        <w:numPr>
          <w:ilvl w:val="0"/>
          <w:numId w:val="9"/>
        </w:numPr>
        <w:autoSpaceDE w:val="0"/>
        <w:autoSpaceDN w:val="0"/>
        <w:adjustRightInd w:val="0"/>
        <w:jc w:val="both"/>
        <w:rPr>
          <w:rFonts w:cs="Times New Roman"/>
          <w:szCs w:val="28"/>
        </w:rPr>
      </w:pPr>
      <w:proofErr w:type="spellStart"/>
      <w:r w:rsidRPr="00CE22B8">
        <w:rPr>
          <w:rFonts w:cs="Times New Roman"/>
          <w:szCs w:val="28"/>
        </w:rPr>
        <w:t>Генеральний</w:t>
      </w:r>
      <w:proofErr w:type="spellEnd"/>
      <w:r w:rsidRPr="00CE22B8">
        <w:rPr>
          <w:rFonts w:cs="Times New Roman"/>
          <w:szCs w:val="28"/>
        </w:rPr>
        <w:t xml:space="preserve"> </w:t>
      </w:r>
      <w:proofErr w:type="spellStart"/>
      <w:r w:rsidRPr="00CE22B8">
        <w:rPr>
          <w:rFonts w:cs="Times New Roman"/>
          <w:szCs w:val="28"/>
        </w:rPr>
        <w:t>секретар</w:t>
      </w:r>
      <w:proofErr w:type="spellEnd"/>
      <w:r w:rsidRPr="00CE22B8">
        <w:rPr>
          <w:rFonts w:cs="Times New Roman"/>
          <w:szCs w:val="28"/>
        </w:rPr>
        <w:t xml:space="preserve"> НАТО </w:t>
      </w:r>
      <w:proofErr w:type="spellStart"/>
      <w:r w:rsidRPr="00CE22B8">
        <w:rPr>
          <w:rFonts w:cs="Times New Roman"/>
          <w:szCs w:val="28"/>
        </w:rPr>
        <w:t>окреслив</w:t>
      </w:r>
      <w:proofErr w:type="spellEnd"/>
      <w:r w:rsidRPr="00CE22B8">
        <w:rPr>
          <w:rFonts w:cs="Times New Roman"/>
          <w:szCs w:val="28"/>
        </w:rPr>
        <w:t xml:space="preserve"> прядок </w:t>
      </w:r>
      <w:proofErr w:type="spellStart"/>
      <w:r w:rsidRPr="00CE22B8">
        <w:rPr>
          <w:rFonts w:cs="Times New Roman"/>
          <w:szCs w:val="28"/>
        </w:rPr>
        <w:t>денний</w:t>
      </w:r>
      <w:proofErr w:type="spellEnd"/>
      <w:r w:rsidRPr="00CE22B8">
        <w:rPr>
          <w:rFonts w:cs="Times New Roman"/>
          <w:szCs w:val="28"/>
        </w:rPr>
        <w:t xml:space="preserve"> </w:t>
      </w:r>
      <w:proofErr w:type="spellStart"/>
      <w:r w:rsidRPr="00CE22B8">
        <w:rPr>
          <w:rFonts w:cs="Times New Roman"/>
          <w:szCs w:val="28"/>
        </w:rPr>
        <w:t>Варшавського</w:t>
      </w:r>
      <w:proofErr w:type="spellEnd"/>
      <w:r w:rsidRPr="00CE22B8">
        <w:rPr>
          <w:rFonts w:cs="Times New Roman"/>
          <w:szCs w:val="28"/>
        </w:rPr>
        <w:t xml:space="preserve"> </w:t>
      </w:r>
      <w:proofErr w:type="spellStart"/>
      <w:r w:rsidRPr="00CE22B8">
        <w:rPr>
          <w:rFonts w:cs="Times New Roman"/>
          <w:szCs w:val="28"/>
        </w:rPr>
        <w:t>саміту</w:t>
      </w:r>
      <w:proofErr w:type="spellEnd"/>
      <w:r w:rsidRPr="00CE22B8">
        <w:rPr>
          <w:rFonts w:cs="Times New Roman"/>
          <w:szCs w:val="28"/>
        </w:rPr>
        <w:t xml:space="preserve">. </w:t>
      </w:r>
      <w:r w:rsidRPr="00313D00">
        <w:rPr>
          <w:rFonts w:cs="Times New Roman"/>
          <w:szCs w:val="28"/>
          <w:lang w:val="en-US"/>
        </w:rPr>
        <w:t>URL</w:t>
      </w:r>
      <w:r w:rsidRPr="00CE22B8">
        <w:rPr>
          <w:rFonts w:cs="Times New Roman"/>
          <w:szCs w:val="28"/>
        </w:rPr>
        <w:t xml:space="preserve">: </w:t>
      </w:r>
      <w:hyperlink r:id="rId11" w:history="1">
        <w:r w:rsidRPr="00313D00">
          <w:rPr>
            <w:rFonts w:cs="Times New Roman"/>
            <w:szCs w:val="28"/>
            <w:u w:val="single"/>
            <w:lang w:val="en-US"/>
          </w:rPr>
          <w:t>http</w:t>
        </w:r>
        <w:r w:rsidRPr="00CE22B8">
          <w:rPr>
            <w:rFonts w:cs="Times New Roman"/>
            <w:szCs w:val="28"/>
            <w:u w:val="single"/>
          </w:rPr>
          <w:t>://</w:t>
        </w:r>
        <w:r w:rsidRPr="00313D00">
          <w:rPr>
            <w:rFonts w:cs="Times New Roman"/>
            <w:szCs w:val="28"/>
            <w:u w:val="single"/>
            <w:lang w:val="en-US"/>
          </w:rPr>
          <w:t>www</w:t>
        </w:r>
        <w:r w:rsidRPr="00CE22B8">
          <w:rPr>
            <w:rFonts w:cs="Times New Roman"/>
            <w:szCs w:val="28"/>
            <w:u w:val="single"/>
          </w:rPr>
          <w:t>.</w:t>
        </w:r>
        <w:proofErr w:type="spellStart"/>
        <w:r w:rsidRPr="00313D00">
          <w:rPr>
            <w:rFonts w:cs="Times New Roman"/>
            <w:szCs w:val="28"/>
            <w:u w:val="single"/>
            <w:lang w:val="en-US"/>
          </w:rPr>
          <w:t>nato</w:t>
        </w:r>
        <w:proofErr w:type="spellEnd"/>
        <w:r w:rsidRPr="00CE22B8">
          <w:rPr>
            <w:rFonts w:cs="Times New Roman"/>
            <w:szCs w:val="28"/>
            <w:u w:val="single"/>
          </w:rPr>
          <w:t>.</w:t>
        </w:r>
        <w:r w:rsidRPr="00313D00">
          <w:rPr>
            <w:rFonts w:cs="Times New Roman"/>
            <w:szCs w:val="28"/>
            <w:u w:val="single"/>
            <w:lang w:val="en-US"/>
          </w:rPr>
          <w:t>int</w:t>
        </w:r>
        <w:r w:rsidRPr="00CE22B8">
          <w:rPr>
            <w:rFonts w:cs="Times New Roman"/>
            <w:szCs w:val="28"/>
            <w:u w:val="single"/>
          </w:rPr>
          <w:t>/</w:t>
        </w:r>
        <w:r w:rsidRPr="00313D00">
          <w:rPr>
            <w:rFonts w:cs="Times New Roman"/>
            <w:szCs w:val="28"/>
            <w:u w:val="single"/>
            <w:lang w:val="en-US"/>
          </w:rPr>
          <w:t>cps</w:t>
        </w:r>
        <w:r w:rsidRPr="00CE22B8">
          <w:rPr>
            <w:rFonts w:cs="Times New Roman"/>
            <w:szCs w:val="28"/>
            <w:u w:val="single"/>
          </w:rPr>
          <w:t>/</w:t>
        </w:r>
        <w:proofErr w:type="spellStart"/>
        <w:r w:rsidRPr="00313D00">
          <w:rPr>
            <w:rFonts w:cs="Times New Roman"/>
            <w:szCs w:val="28"/>
            <w:u w:val="single"/>
            <w:lang w:val="en-US"/>
          </w:rPr>
          <w:t>en</w:t>
        </w:r>
        <w:proofErr w:type="spellEnd"/>
        <w:r w:rsidRPr="00CE22B8">
          <w:rPr>
            <w:rFonts w:cs="Times New Roman"/>
            <w:szCs w:val="28"/>
            <w:u w:val="single"/>
          </w:rPr>
          <w:t>/</w:t>
        </w:r>
        <w:proofErr w:type="spellStart"/>
        <w:r w:rsidRPr="00313D00">
          <w:rPr>
            <w:rFonts w:cs="Times New Roman"/>
            <w:szCs w:val="28"/>
            <w:u w:val="single"/>
            <w:lang w:val="en-US"/>
          </w:rPr>
          <w:t>natohq</w:t>
        </w:r>
        <w:proofErr w:type="spellEnd"/>
        <w:r w:rsidRPr="00CE22B8">
          <w:rPr>
            <w:rFonts w:cs="Times New Roman"/>
            <w:szCs w:val="28"/>
            <w:u w:val="single"/>
          </w:rPr>
          <w:t>/</w:t>
        </w:r>
        <w:r w:rsidRPr="00313D00">
          <w:rPr>
            <w:rFonts w:cs="Times New Roman"/>
            <w:szCs w:val="28"/>
            <w:u w:val="single"/>
            <w:lang w:val="en-US"/>
          </w:rPr>
          <w:t>news</w:t>
        </w:r>
        <w:r w:rsidRPr="00CE22B8">
          <w:rPr>
            <w:rFonts w:cs="Times New Roman"/>
            <w:szCs w:val="28"/>
            <w:u w:val="single"/>
          </w:rPr>
          <w:t>_133063.</w:t>
        </w:r>
        <w:r w:rsidRPr="00313D00">
          <w:rPr>
            <w:rFonts w:cs="Times New Roman"/>
            <w:szCs w:val="28"/>
            <w:u w:val="single"/>
            <w:lang w:val="en-US"/>
          </w:rPr>
          <w:t>htm</w:t>
        </w:r>
        <w:r w:rsidRPr="00CE22B8">
          <w:rPr>
            <w:rFonts w:cs="Times New Roman"/>
            <w:szCs w:val="28"/>
            <w:u w:val="single"/>
          </w:rPr>
          <w:t>?</w:t>
        </w:r>
        <w:proofErr w:type="spellStart"/>
        <w:r w:rsidRPr="00313D00">
          <w:rPr>
            <w:rFonts w:cs="Times New Roman"/>
            <w:szCs w:val="28"/>
            <w:u w:val="single"/>
            <w:lang w:val="en-US"/>
          </w:rPr>
          <w:t>selectedLocale</w:t>
        </w:r>
        <w:proofErr w:type="spellEnd"/>
        <w:r w:rsidRPr="00CE22B8">
          <w:rPr>
            <w:rFonts w:cs="Times New Roman"/>
            <w:szCs w:val="28"/>
            <w:u w:val="single"/>
          </w:rPr>
          <w:t>=</w:t>
        </w:r>
        <w:proofErr w:type="spellStart"/>
        <w:r w:rsidRPr="00313D00">
          <w:rPr>
            <w:rFonts w:cs="Times New Roman"/>
            <w:szCs w:val="28"/>
            <w:u w:val="single"/>
            <w:lang w:val="en-US"/>
          </w:rPr>
          <w:t>uk</w:t>
        </w:r>
        <w:proofErr w:type="spellEnd"/>
      </w:hyperlink>
      <w:r w:rsidRPr="00CE22B8">
        <w:rPr>
          <w:rFonts w:cs="Times New Roman"/>
          <w:szCs w:val="28"/>
        </w:rPr>
        <w:t xml:space="preserve"> (дата </w:t>
      </w:r>
      <w:proofErr w:type="spellStart"/>
      <w:r w:rsidRPr="00CE22B8">
        <w:rPr>
          <w:rFonts w:cs="Times New Roman"/>
          <w:szCs w:val="28"/>
        </w:rPr>
        <w:t>звернення</w:t>
      </w:r>
      <w:proofErr w:type="spellEnd"/>
      <w:r w:rsidRPr="00CE22B8">
        <w:rPr>
          <w:rFonts w:cs="Times New Roman"/>
          <w:szCs w:val="28"/>
        </w:rPr>
        <w:t>: 14.05.2025).</w:t>
      </w:r>
    </w:p>
    <w:p w14:paraId="5DB4CBA3" w14:textId="77777777" w:rsidR="00313D00" w:rsidRPr="00313D00" w:rsidRDefault="00313D00" w:rsidP="00313D00">
      <w:pPr>
        <w:pStyle w:val="a5"/>
        <w:numPr>
          <w:ilvl w:val="0"/>
          <w:numId w:val="9"/>
        </w:numPr>
        <w:autoSpaceDE w:val="0"/>
        <w:autoSpaceDN w:val="0"/>
        <w:adjustRightInd w:val="0"/>
        <w:jc w:val="both"/>
        <w:rPr>
          <w:rFonts w:cs="Times New Roman"/>
          <w:szCs w:val="28"/>
          <w:lang w:val="en-US"/>
        </w:rPr>
      </w:pPr>
      <w:proofErr w:type="spellStart"/>
      <w:r w:rsidRPr="00CE22B8">
        <w:rPr>
          <w:rFonts w:cs="Times New Roman"/>
          <w:szCs w:val="28"/>
        </w:rPr>
        <w:t>Гладиш</w:t>
      </w:r>
      <w:proofErr w:type="spellEnd"/>
      <w:r w:rsidRPr="00CE22B8">
        <w:rPr>
          <w:rFonts w:cs="Times New Roman"/>
          <w:szCs w:val="28"/>
        </w:rPr>
        <w:t xml:space="preserve"> М., </w:t>
      </w:r>
      <w:proofErr w:type="spellStart"/>
      <w:r w:rsidRPr="00CE22B8">
        <w:rPr>
          <w:rFonts w:cs="Times New Roman"/>
          <w:szCs w:val="28"/>
        </w:rPr>
        <w:t>Краєвська</w:t>
      </w:r>
      <w:proofErr w:type="spellEnd"/>
      <w:r w:rsidRPr="00CE22B8">
        <w:rPr>
          <w:rFonts w:cs="Times New Roman"/>
          <w:szCs w:val="28"/>
        </w:rPr>
        <w:t xml:space="preserve"> О. </w:t>
      </w:r>
      <w:proofErr w:type="spellStart"/>
      <w:r w:rsidRPr="00CE22B8">
        <w:rPr>
          <w:rFonts w:cs="Times New Roman"/>
          <w:szCs w:val="28"/>
        </w:rPr>
        <w:t>Балтійський</w:t>
      </w:r>
      <w:proofErr w:type="spellEnd"/>
      <w:r w:rsidRPr="00CE22B8">
        <w:rPr>
          <w:rFonts w:cs="Times New Roman"/>
          <w:szCs w:val="28"/>
        </w:rPr>
        <w:t xml:space="preserve"> </w:t>
      </w:r>
      <w:proofErr w:type="spellStart"/>
      <w:r w:rsidRPr="00CE22B8">
        <w:rPr>
          <w:rFonts w:cs="Times New Roman"/>
          <w:szCs w:val="28"/>
        </w:rPr>
        <w:t>вимір</w:t>
      </w:r>
      <w:proofErr w:type="spellEnd"/>
      <w:r w:rsidRPr="00CE22B8">
        <w:rPr>
          <w:rFonts w:cs="Times New Roman"/>
          <w:szCs w:val="28"/>
        </w:rPr>
        <w:t xml:space="preserve"> </w:t>
      </w:r>
      <w:proofErr w:type="spellStart"/>
      <w:r w:rsidRPr="00CE22B8">
        <w:rPr>
          <w:rFonts w:cs="Times New Roman"/>
          <w:szCs w:val="28"/>
        </w:rPr>
        <w:t>Європейської</w:t>
      </w:r>
      <w:proofErr w:type="spellEnd"/>
      <w:r w:rsidRPr="00CE22B8">
        <w:rPr>
          <w:rFonts w:cs="Times New Roman"/>
          <w:szCs w:val="28"/>
        </w:rPr>
        <w:t xml:space="preserve"> </w:t>
      </w:r>
      <w:proofErr w:type="spellStart"/>
      <w:r w:rsidRPr="00CE22B8">
        <w:rPr>
          <w:rFonts w:cs="Times New Roman"/>
          <w:szCs w:val="28"/>
        </w:rPr>
        <w:t>політики</w:t>
      </w:r>
      <w:proofErr w:type="spellEnd"/>
      <w:r w:rsidRPr="00CE22B8">
        <w:rPr>
          <w:rFonts w:cs="Times New Roman"/>
          <w:szCs w:val="28"/>
        </w:rPr>
        <w:t xml:space="preserve"> </w:t>
      </w:r>
      <w:proofErr w:type="spellStart"/>
      <w:r w:rsidRPr="00CE22B8">
        <w:rPr>
          <w:rFonts w:cs="Times New Roman"/>
          <w:szCs w:val="28"/>
        </w:rPr>
        <w:t>безпеки</w:t>
      </w:r>
      <w:proofErr w:type="spellEnd"/>
      <w:r w:rsidRPr="00CE22B8">
        <w:rPr>
          <w:rFonts w:cs="Times New Roman"/>
          <w:szCs w:val="28"/>
        </w:rPr>
        <w:t xml:space="preserve"> та оборони. </w:t>
      </w:r>
      <w:proofErr w:type="spellStart"/>
      <w:r w:rsidRPr="00580D96">
        <w:rPr>
          <w:rFonts w:cs="Times New Roman"/>
          <w:i/>
          <w:iCs/>
          <w:szCs w:val="28"/>
          <w:lang w:val="en-US"/>
        </w:rPr>
        <w:t>Грані</w:t>
      </w:r>
      <w:proofErr w:type="spellEnd"/>
      <w:r w:rsidRPr="00580D96">
        <w:rPr>
          <w:rFonts w:cs="Times New Roman"/>
          <w:i/>
          <w:iCs/>
          <w:szCs w:val="28"/>
          <w:lang w:val="en-US"/>
        </w:rPr>
        <w:t>.</w:t>
      </w:r>
      <w:r w:rsidRPr="00313D00">
        <w:rPr>
          <w:rFonts w:cs="Times New Roman"/>
          <w:szCs w:val="28"/>
          <w:lang w:val="en-US"/>
        </w:rPr>
        <w:t xml:space="preserve"> 2015. № 4 (120). С. 80–85.</w:t>
      </w:r>
    </w:p>
    <w:p w14:paraId="7BF506BA" w14:textId="77777777" w:rsidR="00313D00" w:rsidRPr="00313D00" w:rsidRDefault="00313D00" w:rsidP="00313D00">
      <w:pPr>
        <w:pStyle w:val="a5"/>
        <w:numPr>
          <w:ilvl w:val="0"/>
          <w:numId w:val="9"/>
        </w:numPr>
        <w:autoSpaceDE w:val="0"/>
        <w:autoSpaceDN w:val="0"/>
        <w:adjustRightInd w:val="0"/>
        <w:jc w:val="both"/>
        <w:rPr>
          <w:rFonts w:cs="Times New Roman"/>
          <w:szCs w:val="28"/>
          <w:lang w:val="en-US"/>
        </w:rPr>
      </w:pPr>
      <w:proofErr w:type="spellStart"/>
      <w:r w:rsidRPr="00313D00">
        <w:rPr>
          <w:rFonts w:cs="Times New Roman"/>
          <w:szCs w:val="28"/>
          <w:lang w:val="en-US"/>
        </w:rPr>
        <w:t>Давимука</w:t>
      </w:r>
      <w:proofErr w:type="spellEnd"/>
      <w:r w:rsidRPr="00313D00">
        <w:rPr>
          <w:rFonts w:cs="Times New Roman"/>
          <w:szCs w:val="28"/>
          <w:lang w:val="en-US"/>
        </w:rPr>
        <w:t xml:space="preserve"> О. О., </w:t>
      </w:r>
      <w:proofErr w:type="spellStart"/>
      <w:r w:rsidRPr="00313D00">
        <w:rPr>
          <w:rFonts w:cs="Times New Roman"/>
          <w:szCs w:val="28"/>
          <w:lang w:val="en-US"/>
        </w:rPr>
        <w:t>Кравченко</w:t>
      </w:r>
      <w:proofErr w:type="spellEnd"/>
      <w:r w:rsidRPr="00313D00">
        <w:rPr>
          <w:rFonts w:cs="Times New Roman"/>
          <w:szCs w:val="28"/>
          <w:lang w:val="en-US"/>
        </w:rPr>
        <w:t xml:space="preserve"> В. В. </w:t>
      </w:r>
      <w:proofErr w:type="spellStart"/>
      <w:r w:rsidRPr="00313D00">
        <w:rPr>
          <w:rFonts w:cs="Times New Roman"/>
          <w:szCs w:val="28"/>
          <w:lang w:val="en-US"/>
        </w:rPr>
        <w:t>Особливості</w:t>
      </w:r>
      <w:proofErr w:type="spellEnd"/>
      <w:r w:rsidRPr="00313D00">
        <w:rPr>
          <w:rFonts w:cs="Times New Roman"/>
          <w:szCs w:val="28"/>
          <w:lang w:val="en-US"/>
        </w:rPr>
        <w:t xml:space="preserve"> </w:t>
      </w:r>
      <w:proofErr w:type="spellStart"/>
      <w:r w:rsidRPr="00313D00">
        <w:rPr>
          <w:rFonts w:cs="Times New Roman"/>
          <w:szCs w:val="28"/>
          <w:lang w:val="en-US"/>
        </w:rPr>
        <w:t>безпекової</w:t>
      </w:r>
      <w:proofErr w:type="spellEnd"/>
      <w:r w:rsidRPr="00313D00">
        <w:rPr>
          <w:rFonts w:cs="Times New Roman"/>
          <w:szCs w:val="28"/>
          <w:lang w:val="en-US"/>
        </w:rPr>
        <w:t xml:space="preserve"> </w:t>
      </w:r>
      <w:proofErr w:type="spellStart"/>
      <w:r w:rsidRPr="00313D00">
        <w:rPr>
          <w:rFonts w:cs="Times New Roman"/>
          <w:szCs w:val="28"/>
          <w:lang w:val="en-US"/>
        </w:rPr>
        <w:t>співпраці</w:t>
      </w:r>
      <w:proofErr w:type="spellEnd"/>
      <w:r w:rsidRPr="00313D00">
        <w:rPr>
          <w:rFonts w:cs="Times New Roman"/>
          <w:szCs w:val="28"/>
          <w:lang w:val="en-US"/>
        </w:rPr>
        <w:t xml:space="preserve"> </w:t>
      </w:r>
      <w:proofErr w:type="spellStart"/>
      <w:r w:rsidRPr="00313D00">
        <w:rPr>
          <w:rFonts w:cs="Times New Roman"/>
          <w:szCs w:val="28"/>
          <w:lang w:val="en-US"/>
        </w:rPr>
        <w:t>України</w:t>
      </w:r>
      <w:proofErr w:type="spellEnd"/>
      <w:r w:rsidRPr="00313D00">
        <w:rPr>
          <w:rFonts w:cs="Times New Roman"/>
          <w:szCs w:val="28"/>
          <w:lang w:val="en-US"/>
        </w:rPr>
        <w:t xml:space="preserve"> </w:t>
      </w:r>
      <w:proofErr w:type="spellStart"/>
      <w:r w:rsidRPr="00313D00">
        <w:rPr>
          <w:rFonts w:cs="Times New Roman"/>
          <w:szCs w:val="28"/>
          <w:lang w:val="en-US"/>
        </w:rPr>
        <w:t>та</w:t>
      </w:r>
      <w:proofErr w:type="spellEnd"/>
      <w:r w:rsidRPr="00313D00">
        <w:rPr>
          <w:rFonts w:cs="Times New Roman"/>
          <w:szCs w:val="28"/>
          <w:lang w:val="en-US"/>
        </w:rPr>
        <w:t xml:space="preserve"> </w:t>
      </w:r>
      <w:proofErr w:type="spellStart"/>
      <w:r w:rsidRPr="00313D00">
        <w:rPr>
          <w:rFonts w:cs="Times New Roman"/>
          <w:szCs w:val="28"/>
          <w:lang w:val="en-US"/>
        </w:rPr>
        <w:t>Литви</w:t>
      </w:r>
      <w:proofErr w:type="spellEnd"/>
      <w:r w:rsidRPr="00313D00">
        <w:rPr>
          <w:rFonts w:cs="Times New Roman"/>
          <w:szCs w:val="28"/>
          <w:lang w:val="en-US"/>
        </w:rPr>
        <w:t xml:space="preserve"> в </w:t>
      </w:r>
      <w:proofErr w:type="spellStart"/>
      <w:r w:rsidRPr="00313D00">
        <w:rPr>
          <w:rFonts w:cs="Times New Roman"/>
          <w:szCs w:val="28"/>
          <w:lang w:val="en-US"/>
        </w:rPr>
        <w:t>умовах</w:t>
      </w:r>
      <w:proofErr w:type="spellEnd"/>
      <w:r w:rsidRPr="00313D00">
        <w:rPr>
          <w:rFonts w:cs="Times New Roman"/>
          <w:szCs w:val="28"/>
          <w:lang w:val="en-US"/>
        </w:rPr>
        <w:t xml:space="preserve"> </w:t>
      </w:r>
      <w:proofErr w:type="spellStart"/>
      <w:r w:rsidRPr="00313D00">
        <w:rPr>
          <w:rFonts w:cs="Times New Roman"/>
          <w:szCs w:val="28"/>
          <w:lang w:val="en-US"/>
        </w:rPr>
        <w:t>протидії</w:t>
      </w:r>
      <w:proofErr w:type="spellEnd"/>
      <w:r w:rsidRPr="00313D00">
        <w:rPr>
          <w:rFonts w:cs="Times New Roman"/>
          <w:szCs w:val="28"/>
          <w:lang w:val="en-US"/>
        </w:rPr>
        <w:t xml:space="preserve"> </w:t>
      </w:r>
      <w:proofErr w:type="spellStart"/>
      <w:r w:rsidRPr="00313D00">
        <w:rPr>
          <w:rFonts w:cs="Times New Roman"/>
          <w:szCs w:val="28"/>
          <w:lang w:val="en-US"/>
        </w:rPr>
        <w:t>російській</w:t>
      </w:r>
      <w:proofErr w:type="spellEnd"/>
      <w:r w:rsidRPr="00313D00">
        <w:rPr>
          <w:rFonts w:cs="Times New Roman"/>
          <w:szCs w:val="28"/>
          <w:lang w:val="en-US"/>
        </w:rPr>
        <w:t xml:space="preserve"> </w:t>
      </w:r>
      <w:proofErr w:type="spellStart"/>
      <w:r w:rsidRPr="00313D00">
        <w:rPr>
          <w:rFonts w:cs="Times New Roman"/>
          <w:szCs w:val="28"/>
          <w:lang w:val="en-US"/>
        </w:rPr>
        <w:t>загрозі</w:t>
      </w:r>
      <w:proofErr w:type="spellEnd"/>
      <w:r w:rsidRPr="00313D00">
        <w:rPr>
          <w:rFonts w:cs="Times New Roman"/>
          <w:szCs w:val="28"/>
          <w:lang w:val="en-US"/>
        </w:rPr>
        <w:t xml:space="preserve">. </w:t>
      </w:r>
      <w:proofErr w:type="spellStart"/>
      <w:r w:rsidRPr="00580D96">
        <w:rPr>
          <w:rFonts w:cs="Times New Roman"/>
          <w:i/>
          <w:iCs/>
          <w:szCs w:val="28"/>
          <w:lang w:val="en-US"/>
        </w:rPr>
        <w:t>Стратегічні</w:t>
      </w:r>
      <w:proofErr w:type="spellEnd"/>
      <w:r w:rsidRPr="00580D96">
        <w:rPr>
          <w:rFonts w:cs="Times New Roman"/>
          <w:i/>
          <w:iCs/>
          <w:szCs w:val="28"/>
          <w:lang w:val="en-US"/>
        </w:rPr>
        <w:t xml:space="preserve"> </w:t>
      </w:r>
      <w:proofErr w:type="spellStart"/>
      <w:r w:rsidRPr="00580D96">
        <w:rPr>
          <w:rFonts w:cs="Times New Roman"/>
          <w:i/>
          <w:iCs/>
          <w:szCs w:val="28"/>
          <w:lang w:val="en-US"/>
        </w:rPr>
        <w:t>пріоритети</w:t>
      </w:r>
      <w:proofErr w:type="spellEnd"/>
      <w:r w:rsidRPr="00313D00">
        <w:rPr>
          <w:rFonts w:cs="Times New Roman"/>
          <w:szCs w:val="28"/>
          <w:lang w:val="en-US"/>
        </w:rPr>
        <w:t>. 2019. № 3–4 (51). С. 70–75.</w:t>
      </w:r>
    </w:p>
    <w:p w14:paraId="020FF799" w14:textId="77777777" w:rsidR="00313D00" w:rsidRPr="00CE22B8" w:rsidRDefault="00313D00" w:rsidP="00313D00">
      <w:pPr>
        <w:pStyle w:val="a5"/>
        <w:numPr>
          <w:ilvl w:val="0"/>
          <w:numId w:val="9"/>
        </w:numPr>
        <w:autoSpaceDE w:val="0"/>
        <w:autoSpaceDN w:val="0"/>
        <w:adjustRightInd w:val="0"/>
        <w:jc w:val="both"/>
        <w:rPr>
          <w:rFonts w:cs="Times New Roman"/>
          <w:szCs w:val="28"/>
        </w:rPr>
      </w:pPr>
      <w:proofErr w:type="spellStart"/>
      <w:r w:rsidRPr="00CE22B8">
        <w:rPr>
          <w:rFonts w:cs="Times New Roman"/>
          <w:szCs w:val="28"/>
        </w:rPr>
        <w:t>Доповідь</w:t>
      </w:r>
      <w:proofErr w:type="spellEnd"/>
      <w:r w:rsidRPr="00CE22B8">
        <w:rPr>
          <w:rFonts w:cs="Times New Roman"/>
          <w:szCs w:val="28"/>
        </w:rPr>
        <w:t xml:space="preserve"> до </w:t>
      </w:r>
      <w:proofErr w:type="spellStart"/>
      <w:r w:rsidRPr="00CE22B8">
        <w:rPr>
          <w:rFonts w:cs="Times New Roman"/>
          <w:szCs w:val="28"/>
        </w:rPr>
        <w:t>щорічного</w:t>
      </w:r>
      <w:proofErr w:type="spellEnd"/>
      <w:r w:rsidRPr="00CE22B8">
        <w:rPr>
          <w:rFonts w:cs="Times New Roman"/>
          <w:szCs w:val="28"/>
        </w:rPr>
        <w:t xml:space="preserve"> </w:t>
      </w:r>
      <w:proofErr w:type="spellStart"/>
      <w:r w:rsidRPr="00CE22B8">
        <w:rPr>
          <w:rFonts w:cs="Times New Roman"/>
          <w:szCs w:val="28"/>
        </w:rPr>
        <w:t>Послання</w:t>
      </w:r>
      <w:proofErr w:type="spellEnd"/>
      <w:r w:rsidRPr="00CE22B8">
        <w:rPr>
          <w:rFonts w:cs="Times New Roman"/>
          <w:szCs w:val="28"/>
        </w:rPr>
        <w:t xml:space="preserve"> Президента </w:t>
      </w:r>
      <w:proofErr w:type="spellStart"/>
      <w:r w:rsidRPr="00CE22B8">
        <w:rPr>
          <w:rFonts w:cs="Times New Roman"/>
          <w:szCs w:val="28"/>
        </w:rPr>
        <w:t>України</w:t>
      </w:r>
      <w:proofErr w:type="spellEnd"/>
      <w:r w:rsidRPr="00CE22B8">
        <w:rPr>
          <w:rFonts w:cs="Times New Roman"/>
          <w:szCs w:val="28"/>
        </w:rPr>
        <w:t xml:space="preserve"> до </w:t>
      </w:r>
      <w:proofErr w:type="spellStart"/>
      <w:proofErr w:type="gramStart"/>
      <w:r w:rsidRPr="00CE22B8">
        <w:rPr>
          <w:rFonts w:cs="Times New Roman"/>
          <w:szCs w:val="28"/>
        </w:rPr>
        <w:t>Верховної</w:t>
      </w:r>
      <w:proofErr w:type="spellEnd"/>
      <w:proofErr w:type="gramEnd"/>
      <w:r w:rsidRPr="00CE22B8">
        <w:rPr>
          <w:rFonts w:cs="Times New Roman"/>
          <w:szCs w:val="28"/>
        </w:rPr>
        <w:t xml:space="preserve"> Ради </w:t>
      </w:r>
      <w:proofErr w:type="spellStart"/>
      <w:r w:rsidRPr="00CE22B8">
        <w:rPr>
          <w:rFonts w:cs="Times New Roman"/>
          <w:szCs w:val="28"/>
        </w:rPr>
        <w:t>України</w:t>
      </w:r>
      <w:proofErr w:type="spellEnd"/>
      <w:r w:rsidRPr="00CE22B8">
        <w:rPr>
          <w:rFonts w:cs="Times New Roman"/>
          <w:szCs w:val="28"/>
        </w:rPr>
        <w:t xml:space="preserve"> «Про </w:t>
      </w:r>
      <w:proofErr w:type="spellStart"/>
      <w:r w:rsidRPr="00CE22B8">
        <w:rPr>
          <w:rFonts w:cs="Times New Roman"/>
          <w:szCs w:val="28"/>
        </w:rPr>
        <w:t>внутрішнє</w:t>
      </w:r>
      <w:proofErr w:type="spellEnd"/>
      <w:r w:rsidRPr="00CE22B8">
        <w:rPr>
          <w:rFonts w:cs="Times New Roman"/>
          <w:szCs w:val="28"/>
        </w:rPr>
        <w:t xml:space="preserve"> і </w:t>
      </w:r>
      <w:proofErr w:type="spellStart"/>
      <w:r w:rsidRPr="00CE22B8">
        <w:rPr>
          <w:rFonts w:cs="Times New Roman"/>
          <w:szCs w:val="28"/>
        </w:rPr>
        <w:t>зовнішнє</w:t>
      </w:r>
      <w:proofErr w:type="spellEnd"/>
      <w:r w:rsidRPr="00CE22B8">
        <w:rPr>
          <w:rFonts w:cs="Times New Roman"/>
          <w:szCs w:val="28"/>
        </w:rPr>
        <w:t xml:space="preserve"> становище </w:t>
      </w:r>
      <w:proofErr w:type="spellStart"/>
      <w:r w:rsidRPr="00CE22B8">
        <w:rPr>
          <w:rFonts w:cs="Times New Roman"/>
          <w:szCs w:val="28"/>
        </w:rPr>
        <w:t>України</w:t>
      </w:r>
      <w:proofErr w:type="spellEnd"/>
      <w:r w:rsidRPr="00CE22B8">
        <w:rPr>
          <w:rFonts w:cs="Times New Roman"/>
          <w:szCs w:val="28"/>
        </w:rPr>
        <w:t xml:space="preserve">». </w:t>
      </w:r>
      <w:proofErr w:type="spellStart"/>
      <w:r w:rsidRPr="00CE22B8">
        <w:rPr>
          <w:rFonts w:cs="Times New Roman"/>
          <w:szCs w:val="28"/>
        </w:rPr>
        <w:t>Національний</w:t>
      </w:r>
      <w:proofErr w:type="spellEnd"/>
      <w:r w:rsidRPr="00CE22B8">
        <w:rPr>
          <w:rFonts w:cs="Times New Roman"/>
          <w:szCs w:val="28"/>
        </w:rPr>
        <w:t xml:space="preserve"> </w:t>
      </w:r>
      <w:proofErr w:type="spellStart"/>
      <w:r w:rsidRPr="00CE22B8">
        <w:rPr>
          <w:rFonts w:cs="Times New Roman"/>
          <w:szCs w:val="28"/>
        </w:rPr>
        <w:t>інститут</w:t>
      </w:r>
      <w:proofErr w:type="spellEnd"/>
      <w:r w:rsidRPr="00CE22B8">
        <w:rPr>
          <w:rFonts w:cs="Times New Roman"/>
          <w:szCs w:val="28"/>
        </w:rPr>
        <w:t xml:space="preserve"> </w:t>
      </w:r>
      <w:proofErr w:type="spellStart"/>
      <w:r w:rsidRPr="00CE22B8">
        <w:rPr>
          <w:rFonts w:cs="Times New Roman"/>
          <w:szCs w:val="28"/>
        </w:rPr>
        <w:t>стратегічних</w:t>
      </w:r>
      <w:proofErr w:type="spellEnd"/>
      <w:r w:rsidRPr="00CE22B8">
        <w:rPr>
          <w:rFonts w:cs="Times New Roman"/>
          <w:szCs w:val="28"/>
        </w:rPr>
        <w:t xml:space="preserve"> </w:t>
      </w:r>
      <w:proofErr w:type="spellStart"/>
      <w:r w:rsidRPr="00CE22B8">
        <w:rPr>
          <w:rFonts w:cs="Times New Roman"/>
          <w:szCs w:val="28"/>
        </w:rPr>
        <w:t>досліджень</w:t>
      </w:r>
      <w:proofErr w:type="spellEnd"/>
      <w:r w:rsidRPr="00CE22B8">
        <w:rPr>
          <w:rFonts w:cs="Times New Roman"/>
          <w:szCs w:val="28"/>
        </w:rPr>
        <w:t xml:space="preserve">. 2022. </w:t>
      </w:r>
      <w:r w:rsidRPr="00313D00">
        <w:rPr>
          <w:rFonts w:cs="Times New Roman"/>
          <w:szCs w:val="28"/>
          <w:lang w:val="en-US"/>
        </w:rPr>
        <w:t>URL</w:t>
      </w:r>
      <w:r w:rsidRPr="00CE22B8">
        <w:rPr>
          <w:rFonts w:cs="Times New Roman"/>
          <w:szCs w:val="28"/>
        </w:rPr>
        <w:t xml:space="preserve">: </w:t>
      </w:r>
      <w:hyperlink r:id="rId12" w:history="1">
        <w:r w:rsidRPr="00313D00">
          <w:rPr>
            <w:rFonts w:cs="Times New Roman"/>
            <w:szCs w:val="28"/>
            <w:u w:val="single"/>
            <w:lang w:val="en-US"/>
          </w:rPr>
          <w:t>https</w:t>
        </w:r>
        <w:r w:rsidRPr="00CE22B8">
          <w:rPr>
            <w:rFonts w:cs="Times New Roman"/>
            <w:szCs w:val="28"/>
            <w:u w:val="single"/>
          </w:rPr>
          <w:t>://</w:t>
        </w:r>
        <w:proofErr w:type="spellStart"/>
        <w:r w:rsidRPr="00313D00">
          <w:rPr>
            <w:rFonts w:cs="Times New Roman"/>
            <w:szCs w:val="28"/>
            <w:u w:val="single"/>
            <w:lang w:val="en-US"/>
          </w:rPr>
          <w:t>niss</w:t>
        </w:r>
        <w:proofErr w:type="spellEnd"/>
        <w:r w:rsidRPr="00CE22B8">
          <w:rPr>
            <w:rFonts w:cs="Times New Roman"/>
            <w:szCs w:val="28"/>
            <w:u w:val="single"/>
          </w:rPr>
          <w:t>.</w:t>
        </w:r>
        <w:r w:rsidRPr="00313D00">
          <w:rPr>
            <w:rFonts w:cs="Times New Roman"/>
            <w:szCs w:val="28"/>
            <w:u w:val="single"/>
            <w:lang w:val="en-US"/>
          </w:rPr>
          <w:t>gov</w:t>
        </w:r>
        <w:r w:rsidRPr="00CE22B8">
          <w:rPr>
            <w:rFonts w:cs="Times New Roman"/>
            <w:szCs w:val="28"/>
            <w:u w:val="single"/>
          </w:rPr>
          <w:t>.</w:t>
        </w:r>
        <w:proofErr w:type="spellStart"/>
        <w:r w:rsidRPr="00313D00">
          <w:rPr>
            <w:rFonts w:cs="Times New Roman"/>
            <w:szCs w:val="28"/>
            <w:u w:val="single"/>
            <w:lang w:val="en-US"/>
          </w:rPr>
          <w:t>ua</w:t>
        </w:r>
        <w:proofErr w:type="spellEnd"/>
        <w:r w:rsidRPr="00CE22B8">
          <w:rPr>
            <w:rFonts w:cs="Times New Roman"/>
            <w:szCs w:val="28"/>
            <w:u w:val="single"/>
          </w:rPr>
          <w:t>/</w:t>
        </w:r>
        <w:r w:rsidRPr="00313D00">
          <w:rPr>
            <w:rFonts w:cs="Times New Roman"/>
            <w:szCs w:val="28"/>
            <w:u w:val="single"/>
            <w:lang w:val="en-US"/>
          </w:rPr>
          <w:t>sites</w:t>
        </w:r>
        <w:r w:rsidRPr="00CE22B8">
          <w:rPr>
            <w:rFonts w:cs="Times New Roman"/>
            <w:szCs w:val="28"/>
            <w:u w:val="single"/>
          </w:rPr>
          <w:t>/</w:t>
        </w:r>
        <w:r w:rsidRPr="00313D00">
          <w:rPr>
            <w:rFonts w:cs="Times New Roman"/>
            <w:szCs w:val="28"/>
            <w:u w:val="single"/>
            <w:lang w:val="en-US"/>
          </w:rPr>
          <w:t>default</w:t>
        </w:r>
        <w:r w:rsidRPr="00CE22B8">
          <w:rPr>
            <w:rFonts w:cs="Times New Roman"/>
            <w:szCs w:val="28"/>
            <w:u w:val="single"/>
          </w:rPr>
          <w:t>/</w:t>
        </w:r>
        <w:r w:rsidRPr="00313D00">
          <w:rPr>
            <w:rFonts w:cs="Times New Roman"/>
            <w:szCs w:val="28"/>
            <w:u w:val="single"/>
            <w:lang w:val="en-US"/>
          </w:rPr>
          <w:t>files</w:t>
        </w:r>
        <w:r w:rsidRPr="00CE22B8">
          <w:rPr>
            <w:rFonts w:cs="Times New Roman"/>
            <w:szCs w:val="28"/>
            <w:u w:val="single"/>
          </w:rPr>
          <w:t>/2022-12/</w:t>
        </w:r>
        <w:r w:rsidRPr="00313D00">
          <w:rPr>
            <w:rFonts w:cs="Times New Roman"/>
            <w:szCs w:val="28"/>
            <w:u w:val="single"/>
            <w:lang w:val="en-US"/>
          </w:rPr>
          <w:t>ad</w:t>
        </w:r>
        <w:r w:rsidRPr="00CE22B8">
          <w:rPr>
            <w:rFonts w:cs="Times New Roman"/>
            <w:szCs w:val="28"/>
            <w:u w:val="single"/>
          </w:rPr>
          <w:t>-</w:t>
        </w:r>
        <w:proofErr w:type="spellStart"/>
        <w:r w:rsidRPr="00313D00">
          <w:rPr>
            <w:rFonts w:cs="Times New Roman"/>
            <w:szCs w:val="28"/>
            <w:u w:val="single"/>
            <w:lang w:val="en-US"/>
          </w:rPr>
          <w:t>nisd</w:t>
        </w:r>
        <w:proofErr w:type="spellEnd"/>
        <w:r w:rsidRPr="00CE22B8">
          <w:rPr>
            <w:rFonts w:cs="Times New Roman"/>
            <w:szCs w:val="28"/>
            <w:u w:val="single"/>
          </w:rPr>
          <w:t>-</w:t>
        </w:r>
        <w:r w:rsidRPr="00313D00">
          <w:rPr>
            <w:rFonts w:cs="Times New Roman"/>
            <w:szCs w:val="28"/>
            <w:u w:val="single"/>
            <w:lang w:val="en-US"/>
          </w:rPr>
          <w:t>do</w:t>
        </w:r>
        <w:r w:rsidRPr="00CE22B8">
          <w:rPr>
            <w:rFonts w:cs="Times New Roman"/>
            <w:szCs w:val="28"/>
            <w:u w:val="single"/>
          </w:rPr>
          <w:t>-</w:t>
        </w:r>
        <w:proofErr w:type="spellStart"/>
        <w:r w:rsidRPr="00313D00">
          <w:rPr>
            <w:rFonts w:cs="Times New Roman"/>
            <w:szCs w:val="28"/>
            <w:u w:val="single"/>
            <w:lang w:val="en-US"/>
          </w:rPr>
          <w:t>poslannya</w:t>
        </w:r>
        <w:proofErr w:type="spellEnd"/>
        <w:r w:rsidRPr="00CE22B8">
          <w:rPr>
            <w:rFonts w:cs="Times New Roman"/>
            <w:szCs w:val="28"/>
            <w:u w:val="single"/>
          </w:rPr>
          <w:t>-</w:t>
        </w:r>
        <w:proofErr w:type="spellStart"/>
        <w:r w:rsidRPr="00313D00">
          <w:rPr>
            <w:rFonts w:cs="Times New Roman"/>
            <w:szCs w:val="28"/>
            <w:u w:val="single"/>
            <w:lang w:val="en-US"/>
          </w:rPr>
          <w:t>prezidenta</w:t>
        </w:r>
        <w:proofErr w:type="spellEnd"/>
        <w:r w:rsidRPr="00CE22B8">
          <w:rPr>
            <w:rFonts w:cs="Times New Roman"/>
            <w:szCs w:val="28"/>
            <w:u w:val="single"/>
          </w:rPr>
          <w:t>-</w:t>
        </w:r>
        <w:proofErr w:type="spellStart"/>
        <w:r w:rsidRPr="00313D00">
          <w:rPr>
            <w:rFonts w:cs="Times New Roman"/>
            <w:szCs w:val="28"/>
            <w:u w:val="single"/>
            <w:lang w:val="en-US"/>
          </w:rPr>
          <w:t>ukraini</w:t>
        </w:r>
        <w:proofErr w:type="spellEnd"/>
        <w:r w:rsidRPr="00CE22B8">
          <w:rPr>
            <w:rFonts w:cs="Times New Roman"/>
            <w:szCs w:val="28"/>
            <w:u w:val="single"/>
          </w:rPr>
          <w:t>-2022.</w:t>
        </w:r>
        <w:r w:rsidRPr="00313D00">
          <w:rPr>
            <w:rFonts w:cs="Times New Roman"/>
            <w:szCs w:val="28"/>
            <w:u w:val="single"/>
            <w:lang w:val="en-US"/>
          </w:rPr>
          <w:t>pdf</w:t>
        </w:r>
      </w:hyperlink>
      <w:r w:rsidRPr="00CE22B8">
        <w:rPr>
          <w:rFonts w:cs="Times New Roman"/>
          <w:szCs w:val="28"/>
        </w:rPr>
        <w:t xml:space="preserve"> (дата </w:t>
      </w:r>
      <w:proofErr w:type="spellStart"/>
      <w:r w:rsidRPr="00CE22B8">
        <w:rPr>
          <w:rFonts w:cs="Times New Roman"/>
          <w:szCs w:val="28"/>
        </w:rPr>
        <w:t>звернення</w:t>
      </w:r>
      <w:proofErr w:type="spellEnd"/>
      <w:r w:rsidRPr="00CE22B8">
        <w:rPr>
          <w:rFonts w:cs="Times New Roman"/>
          <w:szCs w:val="28"/>
        </w:rPr>
        <w:t>: 14.05.2025).</w:t>
      </w:r>
    </w:p>
    <w:p w14:paraId="399A5CF5" w14:textId="77777777" w:rsidR="00313D00" w:rsidRPr="00CE22B8" w:rsidRDefault="00313D00" w:rsidP="00313D00">
      <w:pPr>
        <w:pStyle w:val="a5"/>
        <w:numPr>
          <w:ilvl w:val="0"/>
          <w:numId w:val="9"/>
        </w:numPr>
        <w:autoSpaceDE w:val="0"/>
        <w:autoSpaceDN w:val="0"/>
        <w:adjustRightInd w:val="0"/>
        <w:jc w:val="both"/>
        <w:rPr>
          <w:rFonts w:cs="Times New Roman"/>
          <w:szCs w:val="28"/>
        </w:rPr>
      </w:pPr>
      <w:proofErr w:type="spellStart"/>
      <w:r w:rsidRPr="00CE22B8">
        <w:rPr>
          <w:rFonts w:cs="Times New Roman"/>
          <w:szCs w:val="28"/>
        </w:rPr>
        <w:t>Зміцнення</w:t>
      </w:r>
      <w:proofErr w:type="spellEnd"/>
      <w:r w:rsidRPr="00CE22B8">
        <w:rPr>
          <w:rFonts w:cs="Times New Roman"/>
          <w:szCs w:val="28"/>
        </w:rPr>
        <w:t xml:space="preserve"> </w:t>
      </w:r>
      <w:proofErr w:type="spellStart"/>
      <w:r w:rsidRPr="00CE22B8">
        <w:rPr>
          <w:rFonts w:cs="Times New Roman"/>
          <w:szCs w:val="28"/>
        </w:rPr>
        <w:t>безпеки</w:t>
      </w:r>
      <w:proofErr w:type="spellEnd"/>
      <w:r w:rsidRPr="00CE22B8">
        <w:rPr>
          <w:rFonts w:cs="Times New Roman"/>
          <w:szCs w:val="28"/>
        </w:rPr>
        <w:t xml:space="preserve"> </w:t>
      </w:r>
      <w:proofErr w:type="spellStart"/>
      <w:r w:rsidRPr="00CE22B8">
        <w:rPr>
          <w:rFonts w:cs="Times New Roman"/>
          <w:szCs w:val="28"/>
        </w:rPr>
        <w:t>країн</w:t>
      </w:r>
      <w:proofErr w:type="spellEnd"/>
      <w:r w:rsidRPr="00CE22B8">
        <w:rPr>
          <w:rFonts w:cs="Times New Roman"/>
          <w:szCs w:val="28"/>
        </w:rPr>
        <w:t xml:space="preserve"> </w:t>
      </w:r>
      <w:proofErr w:type="spellStart"/>
      <w:r w:rsidRPr="00CE22B8">
        <w:rPr>
          <w:rFonts w:cs="Times New Roman"/>
          <w:szCs w:val="28"/>
        </w:rPr>
        <w:t>Балтії</w:t>
      </w:r>
      <w:proofErr w:type="spellEnd"/>
      <w:r w:rsidRPr="00CE22B8">
        <w:rPr>
          <w:rFonts w:cs="Times New Roman"/>
          <w:szCs w:val="28"/>
        </w:rPr>
        <w:t xml:space="preserve"> в </w:t>
      </w:r>
      <w:proofErr w:type="spellStart"/>
      <w:r w:rsidRPr="00CE22B8">
        <w:rPr>
          <w:rFonts w:cs="Times New Roman"/>
          <w:szCs w:val="28"/>
        </w:rPr>
        <w:t>контексті</w:t>
      </w:r>
      <w:proofErr w:type="spellEnd"/>
      <w:r w:rsidRPr="00CE22B8">
        <w:rPr>
          <w:rFonts w:cs="Times New Roman"/>
          <w:szCs w:val="28"/>
        </w:rPr>
        <w:t xml:space="preserve"> </w:t>
      </w:r>
      <w:proofErr w:type="spellStart"/>
      <w:r w:rsidRPr="00CE22B8">
        <w:rPr>
          <w:rFonts w:cs="Times New Roman"/>
          <w:szCs w:val="28"/>
        </w:rPr>
        <w:t>зміни</w:t>
      </w:r>
      <w:proofErr w:type="spellEnd"/>
      <w:r w:rsidRPr="00CE22B8">
        <w:rPr>
          <w:rFonts w:cs="Times New Roman"/>
          <w:szCs w:val="28"/>
        </w:rPr>
        <w:t xml:space="preserve"> </w:t>
      </w:r>
      <w:proofErr w:type="spellStart"/>
      <w:r w:rsidRPr="00CE22B8">
        <w:rPr>
          <w:rFonts w:cs="Times New Roman"/>
          <w:szCs w:val="28"/>
        </w:rPr>
        <w:t>стратегічної</w:t>
      </w:r>
      <w:proofErr w:type="spellEnd"/>
      <w:r w:rsidRPr="00CE22B8">
        <w:rPr>
          <w:rFonts w:cs="Times New Roman"/>
          <w:szCs w:val="28"/>
        </w:rPr>
        <w:t xml:space="preserve"> </w:t>
      </w:r>
      <w:proofErr w:type="spellStart"/>
      <w:r w:rsidRPr="00CE22B8">
        <w:rPr>
          <w:rFonts w:cs="Times New Roman"/>
          <w:szCs w:val="28"/>
        </w:rPr>
        <w:t>концепції</w:t>
      </w:r>
      <w:proofErr w:type="spellEnd"/>
      <w:r w:rsidRPr="00CE22B8">
        <w:rPr>
          <w:rFonts w:cs="Times New Roman"/>
          <w:szCs w:val="28"/>
        </w:rPr>
        <w:t xml:space="preserve"> оборони НАТО: </w:t>
      </w:r>
      <w:proofErr w:type="spellStart"/>
      <w:r w:rsidRPr="00CE22B8">
        <w:rPr>
          <w:rFonts w:cs="Times New Roman"/>
          <w:szCs w:val="28"/>
        </w:rPr>
        <w:t>значення</w:t>
      </w:r>
      <w:proofErr w:type="spellEnd"/>
      <w:r w:rsidRPr="00CE22B8">
        <w:rPr>
          <w:rFonts w:cs="Times New Roman"/>
          <w:szCs w:val="28"/>
        </w:rPr>
        <w:t xml:space="preserve"> для </w:t>
      </w:r>
      <w:proofErr w:type="spellStart"/>
      <w:r w:rsidRPr="00CE22B8">
        <w:rPr>
          <w:rFonts w:cs="Times New Roman"/>
          <w:szCs w:val="28"/>
        </w:rPr>
        <w:t>України</w:t>
      </w:r>
      <w:proofErr w:type="spellEnd"/>
      <w:r w:rsidRPr="00CE22B8">
        <w:rPr>
          <w:rFonts w:cs="Times New Roman"/>
          <w:szCs w:val="28"/>
        </w:rPr>
        <w:t xml:space="preserve">. </w:t>
      </w:r>
      <w:r w:rsidRPr="00313D00">
        <w:rPr>
          <w:rFonts w:cs="Times New Roman"/>
          <w:szCs w:val="28"/>
          <w:lang w:val="en-US"/>
        </w:rPr>
        <w:t>URL</w:t>
      </w:r>
      <w:r w:rsidRPr="00CE22B8">
        <w:rPr>
          <w:rFonts w:cs="Times New Roman"/>
          <w:szCs w:val="28"/>
        </w:rPr>
        <w:t xml:space="preserve">: </w:t>
      </w:r>
      <w:hyperlink r:id="rId13" w:history="1">
        <w:r w:rsidRPr="00313D00">
          <w:rPr>
            <w:rFonts w:cs="Times New Roman"/>
            <w:szCs w:val="28"/>
            <w:u w:val="single"/>
            <w:lang w:val="en-US"/>
          </w:rPr>
          <w:t>https</w:t>
        </w:r>
        <w:r w:rsidRPr="00CE22B8">
          <w:rPr>
            <w:rFonts w:cs="Times New Roman"/>
            <w:szCs w:val="28"/>
            <w:u w:val="single"/>
          </w:rPr>
          <w:t>://</w:t>
        </w:r>
        <w:proofErr w:type="spellStart"/>
        <w:r w:rsidRPr="00313D00">
          <w:rPr>
            <w:rFonts w:cs="Times New Roman"/>
            <w:szCs w:val="28"/>
            <w:u w:val="single"/>
            <w:lang w:val="en-US"/>
          </w:rPr>
          <w:t>niss</w:t>
        </w:r>
        <w:proofErr w:type="spellEnd"/>
        <w:r w:rsidRPr="00CE22B8">
          <w:rPr>
            <w:rFonts w:cs="Times New Roman"/>
            <w:szCs w:val="28"/>
            <w:u w:val="single"/>
          </w:rPr>
          <w:t>.</w:t>
        </w:r>
        <w:r w:rsidRPr="00313D00">
          <w:rPr>
            <w:rFonts w:cs="Times New Roman"/>
            <w:szCs w:val="28"/>
            <w:u w:val="single"/>
            <w:lang w:val="en-US"/>
          </w:rPr>
          <w:t>gov</w:t>
        </w:r>
        <w:r w:rsidRPr="00CE22B8">
          <w:rPr>
            <w:rFonts w:cs="Times New Roman"/>
            <w:szCs w:val="28"/>
            <w:u w:val="single"/>
          </w:rPr>
          <w:t>.</w:t>
        </w:r>
        <w:proofErr w:type="spellStart"/>
        <w:r w:rsidRPr="00313D00">
          <w:rPr>
            <w:rFonts w:cs="Times New Roman"/>
            <w:szCs w:val="28"/>
            <w:u w:val="single"/>
            <w:lang w:val="en-US"/>
          </w:rPr>
          <w:t>ua</w:t>
        </w:r>
        <w:proofErr w:type="spellEnd"/>
        <w:r w:rsidRPr="00CE22B8">
          <w:rPr>
            <w:rFonts w:cs="Times New Roman"/>
            <w:szCs w:val="28"/>
            <w:u w:val="single"/>
          </w:rPr>
          <w:t>/</w:t>
        </w:r>
        <w:r w:rsidRPr="00313D00">
          <w:rPr>
            <w:rFonts w:cs="Times New Roman"/>
            <w:szCs w:val="28"/>
            <w:u w:val="single"/>
            <w:lang w:val="en-US"/>
          </w:rPr>
          <w:t>news</w:t>
        </w:r>
        <w:r w:rsidRPr="00CE22B8">
          <w:rPr>
            <w:rFonts w:cs="Times New Roman"/>
            <w:szCs w:val="28"/>
            <w:u w:val="single"/>
          </w:rPr>
          <w:t>/</w:t>
        </w:r>
        <w:proofErr w:type="spellStart"/>
        <w:r w:rsidRPr="00313D00">
          <w:rPr>
            <w:rFonts w:cs="Times New Roman"/>
            <w:szCs w:val="28"/>
            <w:u w:val="single"/>
            <w:lang w:val="en-US"/>
          </w:rPr>
          <w:t>komentari</w:t>
        </w:r>
        <w:proofErr w:type="spellEnd"/>
        <w:r w:rsidRPr="00CE22B8">
          <w:rPr>
            <w:rFonts w:cs="Times New Roman"/>
            <w:szCs w:val="28"/>
            <w:u w:val="single"/>
          </w:rPr>
          <w:t>-</w:t>
        </w:r>
        <w:proofErr w:type="spellStart"/>
        <w:r w:rsidRPr="00313D00">
          <w:rPr>
            <w:rFonts w:cs="Times New Roman"/>
            <w:szCs w:val="28"/>
            <w:u w:val="single"/>
            <w:lang w:val="en-US"/>
          </w:rPr>
          <w:t>ekspertiv</w:t>
        </w:r>
        <w:proofErr w:type="spellEnd"/>
        <w:r w:rsidRPr="00CE22B8">
          <w:rPr>
            <w:rFonts w:cs="Times New Roman"/>
            <w:szCs w:val="28"/>
            <w:u w:val="single"/>
          </w:rPr>
          <w:t>/</w:t>
        </w:r>
        <w:proofErr w:type="spellStart"/>
        <w:r w:rsidRPr="00313D00">
          <w:rPr>
            <w:rFonts w:cs="Times New Roman"/>
            <w:szCs w:val="28"/>
            <w:u w:val="single"/>
            <w:lang w:val="en-US"/>
          </w:rPr>
          <w:t>zmitsnennya</w:t>
        </w:r>
        <w:proofErr w:type="spellEnd"/>
        <w:r w:rsidRPr="00CE22B8">
          <w:rPr>
            <w:rFonts w:cs="Times New Roman"/>
            <w:szCs w:val="28"/>
            <w:u w:val="single"/>
          </w:rPr>
          <w:t>-</w:t>
        </w:r>
        <w:proofErr w:type="spellStart"/>
        <w:r w:rsidRPr="00313D00">
          <w:rPr>
            <w:rFonts w:cs="Times New Roman"/>
            <w:szCs w:val="28"/>
            <w:u w:val="single"/>
            <w:lang w:val="en-US"/>
          </w:rPr>
          <w:t>bezpeky</w:t>
        </w:r>
        <w:proofErr w:type="spellEnd"/>
        <w:r w:rsidRPr="00CE22B8">
          <w:rPr>
            <w:rFonts w:cs="Times New Roman"/>
            <w:szCs w:val="28"/>
            <w:u w:val="single"/>
          </w:rPr>
          <w:t>-</w:t>
        </w:r>
        <w:proofErr w:type="spellStart"/>
        <w:r w:rsidRPr="00313D00">
          <w:rPr>
            <w:rFonts w:cs="Times New Roman"/>
            <w:szCs w:val="28"/>
            <w:u w:val="single"/>
            <w:lang w:val="en-US"/>
          </w:rPr>
          <w:t>krayin</w:t>
        </w:r>
        <w:proofErr w:type="spellEnd"/>
        <w:r w:rsidRPr="00CE22B8">
          <w:rPr>
            <w:rFonts w:cs="Times New Roman"/>
            <w:szCs w:val="28"/>
            <w:u w:val="single"/>
          </w:rPr>
          <w:t>-</w:t>
        </w:r>
        <w:proofErr w:type="spellStart"/>
        <w:r w:rsidRPr="00313D00">
          <w:rPr>
            <w:rFonts w:cs="Times New Roman"/>
            <w:szCs w:val="28"/>
            <w:u w:val="single"/>
            <w:lang w:val="en-US"/>
          </w:rPr>
          <w:t>baltiyi</w:t>
        </w:r>
        <w:proofErr w:type="spellEnd"/>
        <w:r w:rsidRPr="00CE22B8">
          <w:rPr>
            <w:rFonts w:cs="Times New Roman"/>
            <w:szCs w:val="28"/>
            <w:u w:val="single"/>
          </w:rPr>
          <w:t>-</w:t>
        </w:r>
        <w:r w:rsidRPr="00313D00">
          <w:rPr>
            <w:rFonts w:cs="Times New Roman"/>
            <w:szCs w:val="28"/>
            <w:u w:val="single"/>
            <w:lang w:val="en-US"/>
          </w:rPr>
          <w:t>v</w:t>
        </w:r>
        <w:r w:rsidRPr="00CE22B8">
          <w:rPr>
            <w:rFonts w:cs="Times New Roman"/>
            <w:szCs w:val="28"/>
            <w:u w:val="single"/>
          </w:rPr>
          <w:t>-</w:t>
        </w:r>
        <w:proofErr w:type="spellStart"/>
        <w:r w:rsidRPr="00313D00">
          <w:rPr>
            <w:rFonts w:cs="Times New Roman"/>
            <w:szCs w:val="28"/>
            <w:u w:val="single"/>
            <w:lang w:val="en-US"/>
          </w:rPr>
          <w:t>konteksti</w:t>
        </w:r>
        <w:proofErr w:type="spellEnd"/>
        <w:r w:rsidRPr="00CE22B8">
          <w:rPr>
            <w:rFonts w:cs="Times New Roman"/>
            <w:szCs w:val="28"/>
            <w:u w:val="single"/>
          </w:rPr>
          <w:t>-</w:t>
        </w:r>
        <w:proofErr w:type="spellStart"/>
        <w:r w:rsidRPr="00313D00">
          <w:rPr>
            <w:rFonts w:cs="Times New Roman"/>
            <w:szCs w:val="28"/>
            <w:u w:val="single"/>
            <w:lang w:val="en-US"/>
          </w:rPr>
          <w:t>zminystratehichnoy</w:t>
        </w:r>
        <w:proofErr w:type="spellEnd"/>
      </w:hyperlink>
      <w:r w:rsidRPr="00CE22B8">
        <w:rPr>
          <w:rFonts w:cs="Times New Roman"/>
          <w:szCs w:val="28"/>
        </w:rPr>
        <w:t xml:space="preserve"> (дата </w:t>
      </w:r>
      <w:proofErr w:type="spellStart"/>
      <w:r w:rsidRPr="00CE22B8">
        <w:rPr>
          <w:rFonts w:cs="Times New Roman"/>
          <w:szCs w:val="28"/>
        </w:rPr>
        <w:t>звернення</w:t>
      </w:r>
      <w:proofErr w:type="spellEnd"/>
      <w:r w:rsidRPr="00CE22B8">
        <w:rPr>
          <w:rFonts w:cs="Times New Roman"/>
          <w:szCs w:val="28"/>
        </w:rPr>
        <w:t>: 14.05.2025).</w:t>
      </w:r>
    </w:p>
    <w:p w14:paraId="71ECFB92" w14:textId="77777777" w:rsidR="00313D00" w:rsidRPr="00313D00" w:rsidRDefault="00313D00" w:rsidP="00313D00">
      <w:pPr>
        <w:pStyle w:val="a5"/>
        <w:numPr>
          <w:ilvl w:val="0"/>
          <w:numId w:val="9"/>
        </w:numPr>
        <w:autoSpaceDE w:val="0"/>
        <w:autoSpaceDN w:val="0"/>
        <w:adjustRightInd w:val="0"/>
        <w:jc w:val="both"/>
        <w:rPr>
          <w:rFonts w:cs="Times New Roman"/>
          <w:szCs w:val="28"/>
          <w:lang w:val="en-US"/>
        </w:rPr>
      </w:pPr>
      <w:proofErr w:type="spellStart"/>
      <w:r w:rsidRPr="00CE22B8">
        <w:rPr>
          <w:rFonts w:cs="Times New Roman"/>
          <w:szCs w:val="28"/>
        </w:rPr>
        <w:lastRenderedPageBreak/>
        <w:t>Івасечко</w:t>
      </w:r>
      <w:proofErr w:type="spellEnd"/>
      <w:r w:rsidRPr="00CE22B8">
        <w:rPr>
          <w:rFonts w:cs="Times New Roman"/>
          <w:szCs w:val="28"/>
        </w:rPr>
        <w:t xml:space="preserve"> О. Я., Коваль О. В. </w:t>
      </w:r>
      <w:proofErr w:type="spellStart"/>
      <w:r w:rsidRPr="00CE22B8">
        <w:rPr>
          <w:rFonts w:cs="Times New Roman"/>
          <w:szCs w:val="28"/>
        </w:rPr>
        <w:t>Загрози</w:t>
      </w:r>
      <w:proofErr w:type="spellEnd"/>
      <w:r w:rsidRPr="00CE22B8">
        <w:rPr>
          <w:rFonts w:cs="Times New Roman"/>
          <w:szCs w:val="28"/>
        </w:rPr>
        <w:t xml:space="preserve"> та </w:t>
      </w:r>
      <w:proofErr w:type="spellStart"/>
      <w:r w:rsidRPr="00CE22B8">
        <w:rPr>
          <w:rFonts w:cs="Times New Roman"/>
          <w:szCs w:val="28"/>
        </w:rPr>
        <w:t>виклики</w:t>
      </w:r>
      <w:proofErr w:type="spellEnd"/>
      <w:r w:rsidRPr="00CE22B8">
        <w:rPr>
          <w:rFonts w:cs="Times New Roman"/>
          <w:szCs w:val="28"/>
        </w:rPr>
        <w:t xml:space="preserve"> для </w:t>
      </w:r>
      <w:proofErr w:type="spellStart"/>
      <w:r w:rsidRPr="00CE22B8">
        <w:rPr>
          <w:rFonts w:cs="Times New Roman"/>
          <w:szCs w:val="28"/>
        </w:rPr>
        <w:t>країн</w:t>
      </w:r>
      <w:proofErr w:type="spellEnd"/>
      <w:r w:rsidRPr="00CE22B8">
        <w:rPr>
          <w:rFonts w:cs="Times New Roman"/>
          <w:szCs w:val="28"/>
        </w:rPr>
        <w:t xml:space="preserve"> </w:t>
      </w:r>
      <w:proofErr w:type="spellStart"/>
      <w:r w:rsidRPr="00CE22B8">
        <w:rPr>
          <w:rFonts w:cs="Times New Roman"/>
          <w:szCs w:val="28"/>
        </w:rPr>
        <w:t>Балтії</w:t>
      </w:r>
      <w:proofErr w:type="spellEnd"/>
      <w:r w:rsidRPr="00CE22B8">
        <w:rPr>
          <w:rFonts w:cs="Times New Roman"/>
          <w:szCs w:val="28"/>
        </w:rPr>
        <w:t xml:space="preserve"> на </w:t>
      </w:r>
      <w:proofErr w:type="spellStart"/>
      <w:r w:rsidRPr="00CE22B8">
        <w:rPr>
          <w:rFonts w:cs="Times New Roman"/>
          <w:szCs w:val="28"/>
        </w:rPr>
        <w:t>сучасному</w:t>
      </w:r>
      <w:proofErr w:type="spellEnd"/>
      <w:r w:rsidRPr="00CE22B8">
        <w:rPr>
          <w:rFonts w:cs="Times New Roman"/>
          <w:szCs w:val="28"/>
        </w:rPr>
        <w:t xml:space="preserve"> </w:t>
      </w:r>
      <w:proofErr w:type="spellStart"/>
      <w:r w:rsidRPr="00CE22B8">
        <w:rPr>
          <w:rFonts w:cs="Times New Roman"/>
          <w:szCs w:val="28"/>
        </w:rPr>
        <w:t>етапі</w:t>
      </w:r>
      <w:proofErr w:type="spellEnd"/>
      <w:r w:rsidRPr="00CE22B8">
        <w:rPr>
          <w:rFonts w:cs="Times New Roman"/>
          <w:szCs w:val="28"/>
        </w:rPr>
        <w:t xml:space="preserve"> </w:t>
      </w:r>
      <w:proofErr w:type="spellStart"/>
      <w:r w:rsidRPr="00CE22B8">
        <w:rPr>
          <w:rFonts w:cs="Times New Roman"/>
          <w:szCs w:val="28"/>
        </w:rPr>
        <w:t>євроінтеграції</w:t>
      </w:r>
      <w:proofErr w:type="spellEnd"/>
      <w:r w:rsidRPr="00CE22B8">
        <w:rPr>
          <w:rFonts w:cs="Times New Roman"/>
          <w:szCs w:val="28"/>
        </w:rPr>
        <w:t xml:space="preserve">. </w:t>
      </w:r>
      <w:proofErr w:type="spellStart"/>
      <w:r w:rsidRPr="00580D96">
        <w:rPr>
          <w:rFonts w:cs="Times New Roman"/>
          <w:i/>
          <w:iCs/>
          <w:szCs w:val="28"/>
          <w:lang w:val="en-US"/>
        </w:rPr>
        <w:t>Вісник</w:t>
      </w:r>
      <w:proofErr w:type="spellEnd"/>
      <w:r w:rsidRPr="00580D96">
        <w:rPr>
          <w:rFonts w:cs="Times New Roman"/>
          <w:i/>
          <w:iCs/>
          <w:szCs w:val="28"/>
          <w:lang w:val="en-US"/>
        </w:rPr>
        <w:t xml:space="preserve"> </w:t>
      </w:r>
      <w:proofErr w:type="spellStart"/>
      <w:r w:rsidRPr="00580D96">
        <w:rPr>
          <w:rFonts w:cs="Times New Roman"/>
          <w:i/>
          <w:iCs/>
          <w:szCs w:val="28"/>
          <w:lang w:val="en-US"/>
        </w:rPr>
        <w:t>Маріупольського</w:t>
      </w:r>
      <w:proofErr w:type="spellEnd"/>
      <w:r w:rsidRPr="00580D96">
        <w:rPr>
          <w:rFonts w:cs="Times New Roman"/>
          <w:i/>
          <w:iCs/>
          <w:szCs w:val="28"/>
          <w:lang w:val="en-US"/>
        </w:rPr>
        <w:t xml:space="preserve"> </w:t>
      </w:r>
      <w:proofErr w:type="spellStart"/>
      <w:r w:rsidRPr="00580D96">
        <w:rPr>
          <w:rFonts w:cs="Times New Roman"/>
          <w:i/>
          <w:iCs/>
          <w:szCs w:val="28"/>
          <w:lang w:val="en-US"/>
        </w:rPr>
        <w:t>державного</w:t>
      </w:r>
      <w:proofErr w:type="spellEnd"/>
      <w:r w:rsidRPr="00580D96">
        <w:rPr>
          <w:rFonts w:cs="Times New Roman"/>
          <w:i/>
          <w:iCs/>
          <w:szCs w:val="28"/>
          <w:lang w:val="en-US"/>
        </w:rPr>
        <w:t xml:space="preserve"> </w:t>
      </w:r>
      <w:proofErr w:type="spellStart"/>
      <w:r w:rsidRPr="00580D96">
        <w:rPr>
          <w:rFonts w:cs="Times New Roman"/>
          <w:i/>
          <w:iCs/>
          <w:szCs w:val="28"/>
          <w:lang w:val="en-US"/>
        </w:rPr>
        <w:t>університету</w:t>
      </w:r>
      <w:proofErr w:type="spellEnd"/>
      <w:r w:rsidRPr="00313D00">
        <w:rPr>
          <w:rFonts w:cs="Times New Roman"/>
          <w:szCs w:val="28"/>
          <w:lang w:val="en-US"/>
        </w:rPr>
        <w:t xml:space="preserve">. </w:t>
      </w:r>
      <w:proofErr w:type="spellStart"/>
      <w:r w:rsidRPr="00313D00">
        <w:rPr>
          <w:rFonts w:cs="Times New Roman"/>
          <w:szCs w:val="28"/>
          <w:lang w:val="en-US"/>
        </w:rPr>
        <w:t>Серія</w:t>
      </w:r>
      <w:proofErr w:type="spellEnd"/>
      <w:r w:rsidRPr="00313D00">
        <w:rPr>
          <w:rFonts w:cs="Times New Roman"/>
          <w:szCs w:val="28"/>
          <w:lang w:val="en-US"/>
        </w:rPr>
        <w:t xml:space="preserve">: </w:t>
      </w:r>
      <w:proofErr w:type="spellStart"/>
      <w:r w:rsidRPr="00313D00">
        <w:rPr>
          <w:rFonts w:cs="Times New Roman"/>
          <w:szCs w:val="28"/>
          <w:lang w:val="en-US"/>
        </w:rPr>
        <w:t>Історія</w:t>
      </w:r>
      <w:proofErr w:type="spellEnd"/>
      <w:r w:rsidRPr="00313D00">
        <w:rPr>
          <w:rFonts w:cs="Times New Roman"/>
          <w:szCs w:val="28"/>
          <w:lang w:val="en-US"/>
        </w:rPr>
        <w:t xml:space="preserve">. </w:t>
      </w:r>
      <w:proofErr w:type="spellStart"/>
      <w:r w:rsidRPr="00313D00">
        <w:rPr>
          <w:rFonts w:cs="Times New Roman"/>
          <w:szCs w:val="28"/>
          <w:lang w:val="en-US"/>
        </w:rPr>
        <w:t>Політологія</w:t>
      </w:r>
      <w:proofErr w:type="spellEnd"/>
      <w:r w:rsidRPr="00313D00">
        <w:rPr>
          <w:rFonts w:cs="Times New Roman"/>
          <w:szCs w:val="28"/>
          <w:lang w:val="en-US"/>
        </w:rPr>
        <w:t xml:space="preserve">. 2016. </w:t>
      </w:r>
      <w:proofErr w:type="spellStart"/>
      <w:r w:rsidRPr="00313D00">
        <w:rPr>
          <w:rFonts w:cs="Times New Roman"/>
          <w:szCs w:val="28"/>
          <w:lang w:val="en-US"/>
        </w:rPr>
        <w:t>Вип</w:t>
      </w:r>
      <w:proofErr w:type="spellEnd"/>
      <w:r w:rsidRPr="00313D00">
        <w:rPr>
          <w:rFonts w:cs="Times New Roman"/>
          <w:szCs w:val="28"/>
          <w:lang w:val="en-US"/>
        </w:rPr>
        <w:t>. 16. С. 248–255.</w:t>
      </w:r>
    </w:p>
    <w:p w14:paraId="2B7BF558" w14:textId="77777777" w:rsidR="00313D00" w:rsidRPr="00CE22B8" w:rsidRDefault="00313D00" w:rsidP="00313D00">
      <w:pPr>
        <w:pStyle w:val="a5"/>
        <w:numPr>
          <w:ilvl w:val="0"/>
          <w:numId w:val="9"/>
        </w:numPr>
        <w:autoSpaceDE w:val="0"/>
        <w:autoSpaceDN w:val="0"/>
        <w:adjustRightInd w:val="0"/>
        <w:jc w:val="both"/>
        <w:rPr>
          <w:rFonts w:cs="Times New Roman"/>
          <w:szCs w:val="28"/>
        </w:rPr>
      </w:pPr>
      <w:proofErr w:type="spellStart"/>
      <w:r w:rsidRPr="00CE22B8">
        <w:rPr>
          <w:rFonts w:cs="Times New Roman"/>
          <w:szCs w:val="28"/>
        </w:rPr>
        <w:t>Івасечко</w:t>
      </w:r>
      <w:proofErr w:type="spellEnd"/>
      <w:r w:rsidRPr="00CE22B8">
        <w:rPr>
          <w:rFonts w:cs="Times New Roman"/>
          <w:szCs w:val="28"/>
        </w:rPr>
        <w:t xml:space="preserve"> О., </w:t>
      </w:r>
      <w:proofErr w:type="spellStart"/>
      <w:r w:rsidRPr="00CE22B8">
        <w:rPr>
          <w:rFonts w:cs="Times New Roman"/>
          <w:szCs w:val="28"/>
        </w:rPr>
        <w:t>Цебенко</w:t>
      </w:r>
      <w:proofErr w:type="spellEnd"/>
      <w:r w:rsidRPr="00CE22B8">
        <w:rPr>
          <w:rFonts w:cs="Times New Roman"/>
          <w:szCs w:val="28"/>
        </w:rPr>
        <w:t xml:space="preserve"> О. Нова </w:t>
      </w:r>
      <w:proofErr w:type="spellStart"/>
      <w:r w:rsidRPr="00CE22B8">
        <w:rPr>
          <w:rFonts w:cs="Times New Roman"/>
          <w:szCs w:val="28"/>
        </w:rPr>
        <w:t>оборонна</w:t>
      </w:r>
      <w:proofErr w:type="spellEnd"/>
      <w:r w:rsidRPr="00CE22B8">
        <w:rPr>
          <w:rFonts w:cs="Times New Roman"/>
          <w:szCs w:val="28"/>
        </w:rPr>
        <w:t xml:space="preserve"> </w:t>
      </w:r>
      <w:proofErr w:type="spellStart"/>
      <w:r w:rsidRPr="00CE22B8">
        <w:rPr>
          <w:rFonts w:cs="Times New Roman"/>
          <w:szCs w:val="28"/>
        </w:rPr>
        <w:t>стратегія</w:t>
      </w:r>
      <w:proofErr w:type="spellEnd"/>
      <w:r w:rsidRPr="00CE22B8">
        <w:rPr>
          <w:rFonts w:cs="Times New Roman"/>
          <w:szCs w:val="28"/>
        </w:rPr>
        <w:t xml:space="preserve"> ЄС «</w:t>
      </w:r>
      <w:proofErr w:type="spellStart"/>
      <w:r w:rsidRPr="00CE22B8">
        <w:rPr>
          <w:rFonts w:cs="Times New Roman"/>
          <w:szCs w:val="28"/>
        </w:rPr>
        <w:t>Стратегічний</w:t>
      </w:r>
      <w:proofErr w:type="spellEnd"/>
      <w:r w:rsidRPr="00CE22B8">
        <w:rPr>
          <w:rFonts w:cs="Times New Roman"/>
          <w:szCs w:val="28"/>
        </w:rPr>
        <w:t xml:space="preserve"> компас» як </w:t>
      </w:r>
      <w:proofErr w:type="spellStart"/>
      <w:r w:rsidRPr="00CE22B8">
        <w:rPr>
          <w:rFonts w:cs="Times New Roman"/>
          <w:szCs w:val="28"/>
        </w:rPr>
        <w:t>відповідь</w:t>
      </w:r>
      <w:proofErr w:type="spellEnd"/>
      <w:r w:rsidRPr="00CE22B8">
        <w:rPr>
          <w:rFonts w:cs="Times New Roman"/>
          <w:szCs w:val="28"/>
        </w:rPr>
        <w:t xml:space="preserve"> на </w:t>
      </w:r>
      <w:proofErr w:type="spellStart"/>
      <w:r w:rsidRPr="00CE22B8">
        <w:rPr>
          <w:rFonts w:cs="Times New Roman"/>
          <w:szCs w:val="28"/>
        </w:rPr>
        <w:t>сучасні</w:t>
      </w:r>
      <w:proofErr w:type="spellEnd"/>
      <w:r w:rsidRPr="00CE22B8">
        <w:rPr>
          <w:rFonts w:cs="Times New Roman"/>
          <w:szCs w:val="28"/>
        </w:rPr>
        <w:t xml:space="preserve"> </w:t>
      </w:r>
      <w:proofErr w:type="spellStart"/>
      <w:r w:rsidRPr="00CE22B8">
        <w:rPr>
          <w:rFonts w:cs="Times New Roman"/>
          <w:szCs w:val="28"/>
        </w:rPr>
        <w:t>гібридні</w:t>
      </w:r>
      <w:proofErr w:type="spellEnd"/>
      <w:r w:rsidRPr="00CE22B8">
        <w:rPr>
          <w:rFonts w:cs="Times New Roman"/>
          <w:szCs w:val="28"/>
        </w:rPr>
        <w:t xml:space="preserve"> </w:t>
      </w:r>
      <w:proofErr w:type="spellStart"/>
      <w:r w:rsidRPr="00CE22B8">
        <w:rPr>
          <w:rFonts w:cs="Times New Roman"/>
          <w:szCs w:val="28"/>
        </w:rPr>
        <w:t>загрози</w:t>
      </w:r>
      <w:proofErr w:type="spellEnd"/>
      <w:r w:rsidRPr="00CE22B8">
        <w:rPr>
          <w:rFonts w:cs="Times New Roman"/>
          <w:szCs w:val="28"/>
        </w:rPr>
        <w:t xml:space="preserve">. 2022. </w:t>
      </w:r>
      <w:r w:rsidRPr="00313D00">
        <w:rPr>
          <w:rFonts w:cs="Times New Roman"/>
          <w:szCs w:val="28"/>
          <w:lang w:val="en-US"/>
        </w:rPr>
        <w:t>URL</w:t>
      </w:r>
      <w:r w:rsidRPr="00CE22B8">
        <w:rPr>
          <w:rFonts w:cs="Times New Roman"/>
          <w:szCs w:val="28"/>
        </w:rPr>
        <w:t xml:space="preserve">: </w:t>
      </w:r>
      <w:hyperlink r:id="rId14" w:history="1">
        <w:r w:rsidRPr="00313D00">
          <w:rPr>
            <w:rFonts w:cs="Times New Roman"/>
            <w:szCs w:val="28"/>
            <w:u w:val="single"/>
            <w:lang w:val="en-US"/>
          </w:rPr>
          <w:t>http</w:t>
        </w:r>
        <w:r w:rsidRPr="00CE22B8">
          <w:rPr>
            <w:rFonts w:cs="Times New Roman"/>
            <w:szCs w:val="28"/>
            <w:u w:val="single"/>
          </w:rPr>
          <w:t>://</w:t>
        </w:r>
        <w:proofErr w:type="spellStart"/>
        <w:r w:rsidRPr="00313D00">
          <w:rPr>
            <w:rFonts w:cs="Times New Roman"/>
            <w:szCs w:val="28"/>
            <w:u w:val="single"/>
            <w:lang w:val="en-US"/>
          </w:rPr>
          <w:t>baltijapublishing</w:t>
        </w:r>
        <w:proofErr w:type="spellEnd"/>
        <w:r w:rsidRPr="00CE22B8">
          <w:rPr>
            <w:rFonts w:cs="Times New Roman"/>
            <w:szCs w:val="28"/>
            <w:u w:val="single"/>
          </w:rPr>
          <w:t>.</w:t>
        </w:r>
        <w:r w:rsidRPr="00313D00">
          <w:rPr>
            <w:rFonts w:cs="Times New Roman"/>
            <w:szCs w:val="28"/>
            <w:u w:val="single"/>
            <w:lang w:val="en-US"/>
          </w:rPr>
          <w:t>lv</w:t>
        </w:r>
        <w:r w:rsidRPr="00CE22B8">
          <w:rPr>
            <w:rFonts w:cs="Times New Roman"/>
            <w:szCs w:val="28"/>
            <w:u w:val="single"/>
          </w:rPr>
          <w:t>/</w:t>
        </w:r>
        <w:proofErr w:type="spellStart"/>
        <w:r w:rsidRPr="00313D00">
          <w:rPr>
            <w:rFonts w:cs="Times New Roman"/>
            <w:szCs w:val="28"/>
            <w:u w:val="single"/>
            <w:lang w:val="en-US"/>
          </w:rPr>
          <w:t>omp</w:t>
        </w:r>
        <w:proofErr w:type="spellEnd"/>
        <w:r w:rsidRPr="00CE22B8">
          <w:rPr>
            <w:rFonts w:cs="Times New Roman"/>
            <w:szCs w:val="28"/>
            <w:u w:val="single"/>
          </w:rPr>
          <w:t>/</w:t>
        </w:r>
        <w:r w:rsidRPr="00313D00">
          <w:rPr>
            <w:rFonts w:cs="Times New Roman"/>
            <w:szCs w:val="28"/>
            <w:u w:val="single"/>
            <w:lang w:val="en-US"/>
          </w:rPr>
          <w:t>index</w:t>
        </w:r>
        <w:r w:rsidRPr="00CE22B8">
          <w:rPr>
            <w:rFonts w:cs="Times New Roman"/>
            <w:szCs w:val="28"/>
            <w:u w:val="single"/>
          </w:rPr>
          <w:t>.</w:t>
        </w:r>
        <w:r w:rsidRPr="00313D00">
          <w:rPr>
            <w:rFonts w:cs="Times New Roman"/>
            <w:szCs w:val="28"/>
            <w:u w:val="single"/>
            <w:lang w:val="en-US"/>
          </w:rPr>
          <w:t>php</w:t>
        </w:r>
        <w:r w:rsidRPr="00CE22B8">
          <w:rPr>
            <w:rFonts w:cs="Times New Roman"/>
            <w:szCs w:val="28"/>
            <w:u w:val="single"/>
          </w:rPr>
          <w:t>/</w:t>
        </w:r>
        <w:r w:rsidRPr="00313D00">
          <w:rPr>
            <w:rFonts w:cs="Times New Roman"/>
            <w:szCs w:val="28"/>
            <w:u w:val="single"/>
            <w:lang w:val="en-US"/>
          </w:rPr>
          <w:t>bp</w:t>
        </w:r>
        <w:r w:rsidRPr="00CE22B8">
          <w:rPr>
            <w:rFonts w:cs="Times New Roman"/>
            <w:szCs w:val="28"/>
            <w:u w:val="single"/>
          </w:rPr>
          <w:t>/</w:t>
        </w:r>
        <w:r w:rsidRPr="00313D00">
          <w:rPr>
            <w:rFonts w:cs="Times New Roman"/>
            <w:szCs w:val="28"/>
            <w:u w:val="single"/>
            <w:lang w:val="en-US"/>
          </w:rPr>
          <w:t>catalog</w:t>
        </w:r>
        <w:r w:rsidRPr="00CE22B8">
          <w:rPr>
            <w:rFonts w:cs="Times New Roman"/>
            <w:szCs w:val="28"/>
            <w:u w:val="single"/>
          </w:rPr>
          <w:t>/</w:t>
        </w:r>
        <w:r w:rsidRPr="00313D00">
          <w:rPr>
            <w:rFonts w:cs="Times New Roman"/>
            <w:szCs w:val="28"/>
            <w:u w:val="single"/>
            <w:lang w:val="en-US"/>
          </w:rPr>
          <w:t>download</w:t>
        </w:r>
        <w:r w:rsidRPr="00CE22B8">
          <w:rPr>
            <w:rFonts w:cs="Times New Roman"/>
            <w:szCs w:val="28"/>
            <w:u w:val="single"/>
          </w:rPr>
          <w:t>/247/6955/14479-1?</w:t>
        </w:r>
        <w:r w:rsidRPr="00313D00">
          <w:rPr>
            <w:rFonts w:cs="Times New Roman"/>
            <w:szCs w:val="28"/>
            <w:u w:val="single"/>
            <w:lang w:val="en-US"/>
          </w:rPr>
          <w:t>inline</w:t>
        </w:r>
        <w:r w:rsidRPr="00CE22B8">
          <w:rPr>
            <w:rFonts w:cs="Times New Roman"/>
            <w:szCs w:val="28"/>
            <w:u w:val="single"/>
          </w:rPr>
          <w:t>=1</w:t>
        </w:r>
      </w:hyperlink>
      <w:r w:rsidRPr="00CE22B8">
        <w:rPr>
          <w:rFonts w:cs="Times New Roman"/>
          <w:szCs w:val="28"/>
        </w:rPr>
        <w:t xml:space="preserve"> (дата </w:t>
      </w:r>
      <w:proofErr w:type="spellStart"/>
      <w:r w:rsidRPr="00CE22B8">
        <w:rPr>
          <w:rFonts w:cs="Times New Roman"/>
          <w:szCs w:val="28"/>
        </w:rPr>
        <w:t>звернення</w:t>
      </w:r>
      <w:proofErr w:type="spellEnd"/>
      <w:r w:rsidRPr="00CE22B8">
        <w:rPr>
          <w:rFonts w:cs="Times New Roman"/>
          <w:szCs w:val="28"/>
        </w:rPr>
        <w:t>: 14.05.2025).</w:t>
      </w:r>
    </w:p>
    <w:p w14:paraId="4D7FFA9F" w14:textId="77777777" w:rsidR="00313D00" w:rsidRPr="00313D00" w:rsidRDefault="00313D00" w:rsidP="00313D00">
      <w:pPr>
        <w:pStyle w:val="a5"/>
        <w:numPr>
          <w:ilvl w:val="0"/>
          <w:numId w:val="9"/>
        </w:numPr>
        <w:autoSpaceDE w:val="0"/>
        <w:autoSpaceDN w:val="0"/>
        <w:adjustRightInd w:val="0"/>
        <w:jc w:val="both"/>
        <w:rPr>
          <w:rFonts w:cs="Times New Roman"/>
          <w:szCs w:val="28"/>
          <w:lang w:val="en-US"/>
        </w:rPr>
      </w:pPr>
      <w:proofErr w:type="spellStart"/>
      <w:r w:rsidRPr="00CE22B8">
        <w:rPr>
          <w:rFonts w:cs="Times New Roman"/>
          <w:szCs w:val="28"/>
        </w:rPr>
        <w:t>Історичні</w:t>
      </w:r>
      <w:proofErr w:type="spellEnd"/>
      <w:r w:rsidRPr="00CE22B8">
        <w:rPr>
          <w:rFonts w:cs="Times New Roman"/>
          <w:szCs w:val="28"/>
        </w:rPr>
        <w:t xml:space="preserve"> </w:t>
      </w:r>
      <w:proofErr w:type="spellStart"/>
      <w:r w:rsidRPr="00CE22B8">
        <w:rPr>
          <w:rFonts w:cs="Times New Roman"/>
          <w:szCs w:val="28"/>
        </w:rPr>
        <w:t>основи</w:t>
      </w:r>
      <w:proofErr w:type="spellEnd"/>
      <w:r w:rsidRPr="00CE22B8">
        <w:rPr>
          <w:rFonts w:cs="Times New Roman"/>
          <w:szCs w:val="28"/>
        </w:rPr>
        <w:t xml:space="preserve"> </w:t>
      </w:r>
      <w:proofErr w:type="spellStart"/>
      <w:r w:rsidRPr="00CE22B8">
        <w:rPr>
          <w:rFonts w:cs="Times New Roman"/>
          <w:szCs w:val="28"/>
        </w:rPr>
        <w:t>зовнішньополітичного</w:t>
      </w:r>
      <w:proofErr w:type="spellEnd"/>
      <w:r w:rsidRPr="00CE22B8">
        <w:rPr>
          <w:rFonts w:cs="Times New Roman"/>
          <w:szCs w:val="28"/>
        </w:rPr>
        <w:t xml:space="preserve"> курсу </w:t>
      </w:r>
      <w:proofErr w:type="spellStart"/>
      <w:r w:rsidRPr="00CE22B8">
        <w:rPr>
          <w:rFonts w:cs="Times New Roman"/>
          <w:szCs w:val="28"/>
        </w:rPr>
        <w:t>пострадянських</w:t>
      </w:r>
      <w:proofErr w:type="spellEnd"/>
      <w:r w:rsidRPr="00CE22B8">
        <w:rPr>
          <w:rFonts w:cs="Times New Roman"/>
          <w:szCs w:val="28"/>
        </w:rPr>
        <w:t xml:space="preserve"> </w:t>
      </w:r>
      <w:proofErr w:type="spellStart"/>
      <w:r w:rsidRPr="00CE22B8">
        <w:rPr>
          <w:rFonts w:cs="Times New Roman"/>
          <w:szCs w:val="28"/>
        </w:rPr>
        <w:t>країн</w:t>
      </w:r>
      <w:proofErr w:type="spellEnd"/>
      <w:r w:rsidRPr="00CE22B8">
        <w:rPr>
          <w:rFonts w:cs="Times New Roman"/>
          <w:szCs w:val="28"/>
        </w:rPr>
        <w:t xml:space="preserve">: </w:t>
      </w:r>
      <w:proofErr w:type="spellStart"/>
      <w:r w:rsidRPr="00CE22B8">
        <w:rPr>
          <w:rFonts w:cs="Times New Roman"/>
          <w:szCs w:val="28"/>
        </w:rPr>
        <w:t>монографія</w:t>
      </w:r>
      <w:proofErr w:type="spellEnd"/>
      <w:r w:rsidRPr="00CE22B8">
        <w:rPr>
          <w:rFonts w:cs="Times New Roman"/>
          <w:szCs w:val="28"/>
        </w:rPr>
        <w:t xml:space="preserve"> / за ред. </w:t>
      </w:r>
      <w:r w:rsidRPr="00313D00">
        <w:rPr>
          <w:rFonts w:cs="Times New Roman"/>
          <w:szCs w:val="28"/>
          <w:lang w:val="en-US"/>
        </w:rPr>
        <w:t xml:space="preserve">А. Г. </w:t>
      </w:r>
      <w:proofErr w:type="spellStart"/>
      <w:r w:rsidRPr="00313D00">
        <w:rPr>
          <w:rFonts w:cs="Times New Roman"/>
          <w:szCs w:val="28"/>
          <w:lang w:val="en-US"/>
        </w:rPr>
        <w:t>Бульвінського</w:t>
      </w:r>
      <w:proofErr w:type="spellEnd"/>
      <w:r w:rsidRPr="00313D00">
        <w:rPr>
          <w:rFonts w:cs="Times New Roman"/>
          <w:szCs w:val="28"/>
          <w:lang w:val="en-US"/>
        </w:rPr>
        <w:t xml:space="preserve">. </w:t>
      </w:r>
      <w:proofErr w:type="spellStart"/>
      <w:r w:rsidRPr="00313D00">
        <w:rPr>
          <w:rFonts w:cs="Times New Roman"/>
          <w:szCs w:val="28"/>
          <w:lang w:val="en-US"/>
        </w:rPr>
        <w:t>Київ</w:t>
      </w:r>
      <w:proofErr w:type="spellEnd"/>
      <w:r w:rsidRPr="00313D00">
        <w:rPr>
          <w:rFonts w:cs="Times New Roman"/>
          <w:szCs w:val="28"/>
          <w:lang w:val="en-US"/>
        </w:rPr>
        <w:t>, 2023. 464 с.</w:t>
      </w:r>
    </w:p>
    <w:p w14:paraId="41BE94CE" w14:textId="77777777" w:rsidR="00313D00" w:rsidRPr="00CE22B8" w:rsidRDefault="00313D00" w:rsidP="00313D00">
      <w:pPr>
        <w:pStyle w:val="a5"/>
        <w:numPr>
          <w:ilvl w:val="0"/>
          <w:numId w:val="9"/>
        </w:numPr>
        <w:autoSpaceDE w:val="0"/>
        <w:autoSpaceDN w:val="0"/>
        <w:adjustRightInd w:val="0"/>
        <w:jc w:val="both"/>
        <w:rPr>
          <w:rFonts w:cs="Times New Roman"/>
          <w:szCs w:val="28"/>
        </w:rPr>
      </w:pPr>
      <w:proofErr w:type="spellStart"/>
      <w:r w:rsidRPr="00CE22B8">
        <w:rPr>
          <w:rFonts w:cs="Times New Roman"/>
          <w:szCs w:val="28"/>
        </w:rPr>
        <w:t>Калініченко</w:t>
      </w:r>
      <w:proofErr w:type="spellEnd"/>
      <w:r w:rsidRPr="00CE22B8">
        <w:rPr>
          <w:rFonts w:cs="Times New Roman"/>
          <w:szCs w:val="28"/>
        </w:rPr>
        <w:t xml:space="preserve"> О. </w:t>
      </w:r>
      <w:proofErr w:type="spellStart"/>
      <w:r w:rsidRPr="00CE22B8">
        <w:rPr>
          <w:rFonts w:cs="Times New Roman"/>
          <w:szCs w:val="28"/>
        </w:rPr>
        <w:t>Ані</w:t>
      </w:r>
      <w:proofErr w:type="spellEnd"/>
      <w:r w:rsidRPr="00CE22B8">
        <w:rPr>
          <w:rFonts w:cs="Times New Roman"/>
          <w:szCs w:val="28"/>
        </w:rPr>
        <w:t xml:space="preserve"> кроку назад: як НАТО </w:t>
      </w:r>
      <w:proofErr w:type="spellStart"/>
      <w:r w:rsidRPr="00CE22B8">
        <w:rPr>
          <w:rFonts w:cs="Times New Roman"/>
          <w:szCs w:val="28"/>
        </w:rPr>
        <w:t>змінює</w:t>
      </w:r>
      <w:proofErr w:type="spellEnd"/>
      <w:r w:rsidRPr="00CE22B8">
        <w:rPr>
          <w:rFonts w:cs="Times New Roman"/>
          <w:szCs w:val="28"/>
        </w:rPr>
        <w:t xml:space="preserve"> принцип </w:t>
      </w:r>
      <w:proofErr w:type="spellStart"/>
      <w:r w:rsidRPr="00CE22B8">
        <w:rPr>
          <w:rFonts w:cs="Times New Roman"/>
          <w:szCs w:val="28"/>
        </w:rPr>
        <w:t>захисту</w:t>
      </w:r>
      <w:proofErr w:type="spellEnd"/>
      <w:r w:rsidRPr="00CE22B8">
        <w:rPr>
          <w:rFonts w:cs="Times New Roman"/>
          <w:szCs w:val="28"/>
        </w:rPr>
        <w:t xml:space="preserve"> </w:t>
      </w:r>
      <w:proofErr w:type="spellStart"/>
      <w:r w:rsidRPr="00CE22B8">
        <w:rPr>
          <w:rFonts w:cs="Times New Roman"/>
          <w:szCs w:val="28"/>
        </w:rPr>
        <w:t>своїх</w:t>
      </w:r>
      <w:proofErr w:type="spellEnd"/>
      <w:r w:rsidRPr="00CE22B8">
        <w:rPr>
          <w:rFonts w:cs="Times New Roman"/>
          <w:szCs w:val="28"/>
        </w:rPr>
        <w:t xml:space="preserve"> </w:t>
      </w:r>
      <w:proofErr w:type="spellStart"/>
      <w:r w:rsidRPr="00CE22B8">
        <w:rPr>
          <w:rFonts w:cs="Times New Roman"/>
          <w:szCs w:val="28"/>
        </w:rPr>
        <w:t>членів</w:t>
      </w:r>
      <w:proofErr w:type="spellEnd"/>
      <w:r w:rsidRPr="00CE22B8">
        <w:rPr>
          <w:rFonts w:cs="Times New Roman"/>
          <w:szCs w:val="28"/>
        </w:rPr>
        <w:t xml:space="preserve">. </w:t>
      </w:r>
      <w:proofErr w:type="spellStart"/>
      <w:r w:rsidRPr="00CE22B8">
        <w:rPr>
          <w:rFonts w:cs="Times New Roman"/>
          <w:szCs w:val="28"/>
        </w:rPr>
        <w:t>Європейська</w:t>
      </w:r>
      <w:proofErr w:type="spellEnd"/>
      <w:r w:rsidRPr="00CE22B8">
        <w:rPr>
          <w:rFonts w:cs="Times New Roman"/>
          <w:szCs w:val="28"/>
        </w:rPr>
        <w:t xml:space="preserve"> правда. 2023. </w:t>
      </w:r>
      <w:r w:rsidRPr="00313D00">
        <w:rPr>
          <w:rFonts w:cs="Times New Roman"/>
          <w:szCs w:val="28"/>
          <w:lang w:val="en-US"/>
        </w:rPr>
        <w:t>URL</w:t>
      </w:r>
      <w:r w:rsidRPr="00CE22B8">
        <w:rPr>
          <w:rFonts w:cs="Times New Roman"/>
          <w:szCs w:val="28"/>
        </w:rPr>
        <w:t xml:space="preserve">: </w:t>
      </w:r>
      <w:hyperlink r:id="rId15" w:history="1">
        <w:r w:rsidRPr="00313D00">
          <w:rPr>
            <w:rFonts w:cs="Times New Roman"/>
            <w:szCs w:val="28"/>
            <w:u w:val="single"/>
            <w:lang w:val="en-US"/>
          </w:rPr>
          <w:t>https</w:t>
        </w:r>
        <w:r w:rsidRPr="00CE22B8">
          <w:rPr>
            <w:rFonts w:cs="Times New Roman"/>
            <w:szCs w:val="28"/>
            <w:u w:val="single"/>
          </w:rPr>
          <w:t>://</w:t>
        </w:r>
        <w:r w:rsidRPr="00313D00">
          <w:rPr>
            <w:rFonts w:cs="Times New Roman"/>
            <w:szCs w:val="28"/>
            <w:u w:val="single"/>
            <w:lang w:val="en-US"/>
          </w:rPr>
          <w:t>www</w:t>
        </w:r>
        <w:r w:rsidRPr="00CE22B8">
          <w:rPr>
            <w:rFonts w:cs="Times New Roman"/>
            <w:szCs w:val="28"/>
            <w:u w:val="single"/>
          </w:rPr>
          <w:t>.</w:t>
        </w:r>
        <w:proofErr w:type="spellStart"/>
        <w:r w:rsidRPr="00313D00">
          <w:rPr>
            <w:rFonts w:cs="Times New Roman"/>
            <w:szCs w:val="28"/>
            <w:u w:val="single"/>
            <w:lang w:val="en-US"/>
          </w:rPr>
          <w:t>eurointegration</w:t>
        </w:r>
        <w:proofErr w:type="spellEnd"/>
        <w:r w:rsidRPr="00CE22B8">
          <w:rPr>
            <w:rFonts w:cs="Times New Roman"/>
            <w:szCs w:val="28"/>
            <w:u w:val="single"/>
          </w:rPr>
          <w:t>.</w:t>
        </w:r>
        <w:r w:rsidRPr="00313D00">
          <w:rPr>
            <w:rFonts w:cs="Times New Roman"/>
            <w:szCs w:val="28"/>
            <w:u w:val="single"/>
            <w:lang w:val="en-US"/>
          </w:rPr>
          <w:t>com</w:t>
        </w:r>
        <w:r w:rsidRPr="00CE22B8">
          <w:rPr>
            <w:rFonts w:cs="Times New Roman"/>
            <w:szCs w:val="28"/>
            <w:u w:val="single"/>
          </w:rPr>
          <w:t>.</w:t>
        </w:r>
        <w:proofErr w:type="spellStart"/>
        <w:r w:rsidRPr="00313D00">
          <w:rPr>
            <w:rFonts w:cs="Times New Roman"/>
            <w:szCs w:val="28"/>
            <w:u w:val="single"/>
            <w:lang w:val="en-US"/>
          </w:rPr>
          <w:t>ua</w:t>
        </w:r>
        <w:proofErr w:type="spellEnd"/>
        <w:r w:rsidRPr="00CE22B8">
          <w:rPr>
            <w:rFonts w:cs="Times New Roman"/>
            <w:szCs w:val="28"/>
            <w:u w:val="single"/>
          </w:rPr>
          <w:t>/</w:t>
        </w:r>
        <w:r w:rsidRPr="00313D00">
          <w:rPr>
            <w:rFonts w:cs="Times New Roman"/>
            <w:szCs w:val="28"/>
            <w:u w:val="single"/>
            <w:lang w:val="en-US"/>
          </w:rPr>
          <w:t>articles</w:t>
        </w:r>
        <w:r w:rsidRPr="00CE22B8">
          <w:rPr>
            <w:rFonts w:cs="Times New Roman"/>
            <w:szCs w:val="28"/>
            <w:u w:val="single"/>
          </w:rPr>
          <w:t>/2023/04/25/7160442/</w:t>
        </w:r>
      </w:hyperlink>
      <w:r w:rsidRPr="00CE22B8">
        <w:rPr>
          <w:rFonts w:cs="Times New Roman"/>
          <w:szCs w:val="28"/>
        </w:rPr>
        <w:t xml:space="preserve"> (дата </w:t>
      </w:r>
      <w:proofErr w:type="spellStart"/>
      <w:r w:rsidRPr="00CE22B8">
        <w:rPr>
          <w:rFonts w:cs="Times New Roman"/>
          <w:szCs w:val="28"/>
        </w:rPr>
        <w:t>звернення</w:t>
      </w:r>
      <w:proofErr w:type="spellEnd"/>
      <w:r w:rsidRPr="00CE22B8">
        <w:rPr>
          <w:rFonts w:cs="Times New Roman"/>
          <w:szCs w:val="28"/>
        </w:rPr>
        <w:t>: 14.05.2025).</w:t>
      </w:r>
    </w:p>
    <w:p w14:paraId="475F8405" w14:textId="77777777" w:rsidR="00313D00" w:rsidRPr="00CE22B8" w:rsidRDefault="00313D00" w:rsidP="00313D00">
      <w:pPr>
        <w:pStyle w:val="a5"/>
        <w:numPr>
          <w:ilvl w:val="0"/>
          <w:numId w:val="9"/>
        </w:numPr>
        <w:autoSpaceDE w:val="0"/>
        <w:autoSpaceDN w:val="0"/>
        <w:adjustRightInd w:val="0"/>
        <w:jc w:val="both"/>
        <w:rPr>
          <w:rFonts w:cs="Times New Roman"/>
          <w:szCs w:val="28"/>
        </w:rPr>
      </w:pPr>
      <w:proofErr w:type="spellStart"/>
      <w:r w:rsidRPr="00CE22B8">
        <w:rPr>
          <w:rFonts w:cs="Times New Roman"/>
          <w:szCs w:val="28"/>
        </w:rPr>
        <w:t>Колективна</w:t>
      </w:r>
      <w:proofErr w:type="spellEnd"/>
      <w:r w:rsidRPr="00CE22B8">
        <w:rPr>
          <w:rFonts w:cs="Times New Roman"/>
          <w:szCs w:val="28"/>
        </w:rPr>
        <w:t xml:space="preserve"> оборона – </w:t>
      </w:r>
      <w:proofErr w:type="spellStart"/>
      <w:r w:rsidRPr="00CE22B8">
        <w:rPr>
          <w:rFonts w:cs="Times New Roman"/>
          <w:szCs w:val="28"/>
        </w:rPr>
        <w:t>Стаття</w:t>
      </w:r>
      <w:proofErr w:type="spellEnd"/>
      <w:r w:rsidRPr="00CE22B8">
        <w:rPr>
          <w:rFonts w:cs="Times New Roman"/>
          <w:szCs w:val="28"/>
        </w:rPr>
        <w:t xml:space="preserve"> 5. Сайт </w:t>
      </w:r>
      <w:proofErr w:type="spellStart"/>
      <w:r w:rsidRPr="00CE22B8">
        <w:rPr>
          <w:rFonts w:cs="Times New Roman"/>
          <w:szCs w:val="28"/>
        </w:rPr>
        <w:t>Організації</w:t>
      </w:r>
      <w:proofErr w:type="spellEnd"/>
      <w:r w:rsidRPr="00CE22B8">
        <w:rPr>
          <w:rFonts w:cs="Times New Roman"/>
          <w:szCs w:val="28"/>
        </w:rPr>
        <w:t xml:space="preserve"> </w:t>
      </w:r>
      <w:proofErr w:type="spellStart"/>
      <w:r w:rsidRPr="00CE22B8">
        <w:rPr>
          <w:rFonts w:cs="Times New Roman"/>
          <w:szCs w:val="28"/>
        </w:rPr>
        <w:t>Північноатлантичного</w:t>
      </w:r>
      <w:proofErr w:type="spellEnd"/>
      <w:r w:rsidRPr="00CE22B8">
        <w:rPr>
          <w:rFonts w:cs="Times New Roman"/>
          <w:szCs w:val="28"/>
        </w:rPr>
        <w:t xml:space="preserve"> договору. 2022. </w:t>
      </w:r>
      <w:r w:rsidRPr="00313D00">
        <w:rPr>
          <w:rFonts w:cs="Times New Roman"/>
          <w:szCs w:val="28"/>
          <w:lang w:val="en-US"/>
        </w:rPr>
        <w:t>URL</w:t>
      </w:r>
      <w:r w:rsidRPr="00CE22B8">
        <w:rPr>
          <w:rFonts w:cs="Times New Roman"/>
          <w:szCs w:val="28"/>
        </w:rPr>
        <w:t xml:space="preserve">: </w:t>
      </w:r>
      <w:hyperlink r:id="rId16" w:history="1">
        <w:r w:rsidRPr="00313D00">
          <w:rPr>
            <w:rFonts w:cs="Times New Roman"/>
            <w:szCs w:val="28"/>
            <w:u w:val="single"/>
            <w:lang w:val="en-US"/>
          </w:rPr>
          <w:t>https</w:t>
        </w:r>
        <w:r w:rsidRPr="00CE22B8">
          <w:rPr>
            <w:rFonts w:cs="Times New Roman"/>
            <w:szCs w:val="28"/>
            <w:u w:val="single"/>
          </w:rPr>
          <w:t>://</w:t>
        </w:r>
        <w:r w:rsidRPr="00313D00">
          <w:rPr>
            <w:rFonts w:cs="Times New Roman"/>
            <w:szCs w:val="28"/>
            <w:u w:val="single"/>
            <w:lang w:val="en-US"/>
          </w:rPr>
          <w:t>www</w:t>
        </w:r>
        <w:r w:rsidRPr="00CE22B8">
          <w:rPr>
            <w:rFonts w:cs="Times New Roman"/>
            <w:szCs w:val="28"/>
            <w:u w:val="single"/>
          </w:rPr>
          <w:t>.</w:t>
        </w:r>
        <w:proofErr w:type="spellStart"/>
        <w:r w:rsidRPr="00313D00">
          <w:rPr>
            <w:rFonts w:cs="Times New Roman"/>
            <w:szCs w:val="28"/>
            <w:u w:val="single"/>
            <w:lang w:val="en-US"/>
          </w:rPr>
          <w:t>nato</w:t>
        </w:r>
        <w:proofErr w:type="spellEnd"/>
        <w:r w:rsidRPr="00CE22B8">
          <w:rPr>
            <w:rFonts w:cs="Times New Roman"/>
            <w:szCs w:val="28"/>
            <w:u w:val="single"/>
          </w:rPr>
          <w:t>.</w:t>
        </w:r>
        <w:r w:rsidRPr="00313D00">
          <w:rPr>
            <w:rFonts w:cs="Times New Roman"/>
            <w:szCs w:val="28"/>
            <w:u w:val="single"/>
            <w:lang w:val="en-US"/>
          </w:rPr>
          <w:t>int</w:t>
        </w:r>
        <w:r w:rsidRPr="00CE22B8">
          <w:rPr>
            <w:rFonts w:cs="Times New Roman"/>
            <w:szCs w:val="28"/>
            <w:u w:val="single"/>
          </w:rPr>
          <w:t>/</w:t>
        </w:r>
        <w:r w:rsidRPr="00313D00">
          <w:rPr>
            <w:rFonts w:cs="Times New Roman"/>
            <w:szCs w:val="28"/>
            <w:u w:val="single"/>
            <w:lang w:val="en-US"/>
          </w:rPr>
          <w:t>cps</w:t>
        </w:r>
        <w:r w:rsidRPr="00CE22B8">
          <w:rPr>
            <w:rFonts w:cs="Times New Roman"/>
            <w:szCs w:val="28"/>
            <w:u w:val="single"/>
          </w:rPr>
          <w:t>/</w:t>
        </w:r>
        <w:proofErr w:type="spellStart"/>
        <w:r w:rsidRPr="00313D00">
          <w:rPr>
            <w:rFonts w:cs="Times New Roman"/>
            <w:szCs w:val="28"/>
            <w:u w:val="single"/>
            <w:lang w:val="en-US"/>
          </w:rPr>
          <w:t>uk</w:t>
        </w:r>
        <w:proofErr w:type="spellEnd"/>
        <w:r w:rsidRPr="00CE22B8">
          <w:rPr>
            <w:rFonts w:cs="Times New Roman"/>
            <w:szCs w:val="28"/>
            <w:u w:val="single"/>
          </w:rPr>
          <w:t>/</w:t>
        </w:r>
        <w:proofErr w:type="spellStart"/>
        <w:r w:rsidRPr="00313D00">
          <w:rPr>
            <w:rFonts w:cs="Times New Roman"/>
            <w:szCs w:val="28"/>
            <w:u w:val="single"/>
            <w:lang w:val="en-US"/>
          </w:rPr>
          <w:t>natohq</w:t>
        </w:r>
        <w:proofErr w:type="spellEnd"/>
        <w:r w:rsidRPr="00CE22B8">
          <w:rPr>
            <w:rFonts w:cs="Times New Roman"/>
            <w:szCs w:val="28"/>
            <w:u w:val="single"/>
          </w:rPr>
          <w:t>/</w:t>
        </w:r>
        <w:r w:rsidRPr="00313D00">
          <w:rPr>
            <w:rFonts w:cs="Times New Roman"/>
            <w:szCs w:val="28"/>
            <w:u w:val="single"/>
            <w:lang w:val="en-US"/>
          </w:rPr>
          <w:t>topics</w:t>
        </w:r>
        <w:r w:rsidRPr="00CE22B8">
          <w:rPr>
            <w:rFonts w:cs="Times New Roman"/>
            <w:szCs w:val="28"/>
            <w:u w:val="single"/>
          </w:rPr>
          <w:t>_110496.</w:t>
        </w:r>
        <w:r w:rsidRPr="00313D00">
          <w:rPr>
            <w:rFonts w:cs="Times New Roman"/>
            <w:szCs w:val="28"/>
            <w:u w:val="single"/>
            <w:lang w:val="en-US"/>
          </w:rPr>
          <w:t>htm</w:t>
        </w:r>
      </w:hyperlink>
      <w:r w:rsidRPr="00CE22B8">
        <w:rPr>
          <w:rFonts w:cs="Times New Roman"/>
          <w:szCs w:val="28"/>
        </w:rPr>
        <w:t xml:space="preserve"> (дата </w:t>
      </w:r>
      <w:proofErr w:type="spellStart"/>
      <w:r w:rsidRPr="00CE22B8">
        <w:rPr>
          <w:rFonts w:cs="Times New Roman"/>
          <w:szCs w:val="28"/>
        </w:rPr>
        <w:t>звернення</w:t>
      </w:r>
      <w:proofErr w:type="spellEnd"/>
      <w:r w:rsidRPr="00CE22B8">
        <w:rPr>
          <w:rFonts w:cs="Times New Roman"/>
          <w:szCs w:val="28"/>
        </w:rPr>
        <w:t>: 14.05.2025).</w:t>
      </w:r>
    </w:p>
    <w:p w14:paraId="36587DD9" w14:textId="77777777" w:rsidR="00313D00" w:rsidRPr="00CE22B8" w:rsidRDefault="00313D00" w:rsidP="00313D00">
      <w:pPr>
        <w:pStyle w:val="a5"/>
        <w:numPr>
          <w:ilvl w:val="0"/>
          <w:numId w:val="9"/>
        </w:numPr>
        <w:autoSpaceDE w:val="0"/>
        <w:autoSpaceDN w:val="0"/>
        <w:adjustRightInd w:val="0"/>
        <w:jc w:val="both"/>
        <w:rPr>
          <w:rFonts w:cs="Times New Roman"/>
          <w:szCs w:val="28"/>
        </w:rPr>
      </w:pPr>
      <w:r w:rsidRPr="00CE22B8">
        <w:rPr>
          <w:rFonts w:cs="Times New Roman"/>
          <w:szCs w:val="28"/>
        </w:rPr>
        <w:t xml:space="preserve">Котляренко О. П., </w:t>
      </w:r>
      <w:proofErr w:type="spellStart"/>
      <w:r w:rsidRPr="00CE22B8">
        <w:rPr>
          <w:rFonts w:cs="Times New Roman"/>
          <w:szCs w:val="28"/>
        </w:rPr>
        <w:t>Приполова</w:t>
      </w:r>
      <w:proofErr w:type="spellEnd"/>
      <w:r w:rsidRPr="00CE22B8">
        <w:rPr>
          <w:rFonts w:cs="Times New Roman"/>
          <w:szCs w:val="28"/>
        </w:rPr>
        <w:t xml:space="preserve"> Л. І. </w:t>
      </w:r>
      <w:proofErr w:type="spellStart"/>
      <w:r w:rsidRPr="00CE22B8">
        <w:rPr>
          <w:rFonts w:cs="Times New Roman"/>
          <w:szCs w:val="28"/>
        </w:rPr>
        <w:t>Досвід</w:t>
      </w:r>
      <w:proofErr w:type="spellEnd"/>
      <w:r w:rsidRPr="00CE22B8">
        <w:rPr>
          <w:rFonts w:cs="Times New Roman"/>
          <w:szCs w:val="28"/>
        </w:rPr>
        <w:t xml:space="preserve"> </w:t>
      </w:r>
      <w:proofErr w:type="spellStart"/>
      <w:r w:rsidRPr="00CE22B8">
        <w:rPr>
          <w:rFonts w:cs="Times New Roman"/>
          <w:szCs w:val="28"/>
        </w:rPr>
        <w:t>конституційно</w:t>
      </w:r>
      <w:proofErr w:type="spellEnd"/>
      <w:r w:rsidRPr="00CE22B8">
        <w:rPr>
          <w:rFonts w:cs="Times New Roman"/>
          <w:szCs w:val="28"/>
        </w:rPr>
        <w:t xml:space="preserve">-правового </w:t>
      </w:r>
      <w:proofErr w:type="spellStart"/>
      <w:r w:rsidRPr="00CE22B8">
        <w:rPr>
          <w:rFonts w:cs="Times New Roman"/>
          <w:szCs w:val="28"/>
        </w:rPr>
        <w:t>забезпечення</w:t>
      </w:r>
      <w:proofErr w:type="spellEnd"/>
      <w:r w:rsidRPr="00CE22B8">
        <w:rPr>
          <w:rFonts w:cs="Times New Roman"/>
          <w:szCs w:val="28"/>
        </w:rPr>
        <w:t xml:space="preserve"> </w:t>
      </w:r>
      <w:proofErr w:type="spellStart"/>
      <w:r w:rsidRPr="00CE22B8">
        <w:rPr>
          <w:rFonts w:cs="Times New Roman"/>
          <w:szCs w:val="28"/>
        </w:rPr>
        <w:t>функціонування</w:t>
      </w:r>
      <w:proofErr w:type="spellEnd"/>
      <w:r w:rsidRPr="00CE22B8">
        <w:rPr>
          <w:rFonts w:cs="Times New Roman"/>
          <w:szCs w:val="28"/>
        </w:rPr>
        <w:t xml:space="preserve"> </w:t>
      </w:r>
      <w:proofErr w:type="spellStart"/>
      <w:r w:rsidRPr="00CE22B8">
        <w:rPr>
          <w:rFonts w:cs="Times New Roman"/>
          <w:szCs w:val="28"/>
        </w:rPr>
        <w:t>Збройних</w:t>
      </w:r>
      <w:proofErr w:type="spellEnd"/>
      <w:r w:rsidRPr="00CE22B8">
        <w:rPr>
          <w:rFonts w:cs="Times New Roman"/>
          <w:szCs w:val="28"/>
        </w:rPr>
        <w:t xml:space="preserve"> сил.</w:t>
      </w:r>
      <w:r w:rsidRPr="00580D96">
        <w:rPr>
          <w:rFonts w:cs="Times New Roman"/>
          <w:i/>
          <w:iCs/>
          <w:szCs w:val="28"/>
        </w:rPr>
        <w:t xml:space="preserve"> </w:t>
      </w:r>
      <w:proofErr w:type="spellStart"/>
      <w:r w:rsidRPr="00580D96">
        <w:rPr>
          <w:rFonts w:cs="Times New Roman"/>
          <w:i/>
          <w:iCs/>
          <w:szCs w:val="28"/>
        </w:rPr>
        <w:t>Юридичний</w:t>
      </w:r>
      <w:proofErr w:type="spellEnd"/>
      <w:r w:rsidRPr="00580D96">
        <w:rPr>
          <w:rFonts w:cs="Times New Roman"/>
          <w:i/>
          <w:iCs/>
          <w:szCs w:val="28"/>
        </w:rPr>
        <w:t xml:space="preserve"> </w:t>
      </w:r>
      <w:proofErr w:type="spellStart"/>
      <w:r w:rsidRPr="00580D96">
        <w:rPr>
          <w:rFonts w:cs="Times New Roman"/>
          <w:i/>
          <w:iCs/>
          <w:szCs w:val="28"/>
        </w:rPr>
        <w:t>науковий</w:t>
      </w:r>
      <w:proofErr w:type="spellEnd"/>
      <w:r w:rsidRPr="00580D96">
        <w:rPr>
          <w:rFonts w:cs="Times New Roman"/>
          <w:i/>
          <w:iCs/>
          <w:szCs w:val="28"/>
        </w:rPr>
        <w:t xml:space="preserve"> </w:t>
      </w:r>
      <w:proofErr w:type="spellStart"/>
      <w:r w:rsidRPr="00580D96">
        <w:rPr>
          <w:rFonts w:cs="Times New Roman"/>
          <w:i/>
          <w:iCs/>
          <w:szCs w:val="28"/>
        </w:rPr>
        <w:t>електронний</w:t>
      </w:r>
      <w:proofErr w:type="spellEnd"/>
      <w:r w:rsidRPr="00580D96">
        <w:rPr>
          <w:rFonts w:cs="Times New Roman"/>
          <w:i/>
          <w:iCs/>
          <w:szCs w:val="28"/>
        </w:rPr>
        <w:t xml:space="preserve"> журнал. </w:t>
      </w:r>
      <w:r w:rsidRPr="00CE22B8">
        <w:rPr>
          <w:rFonts w:cs="Times New Roman"/>
          <w:szCs w:val="28"/>
        </w:rPr>
        <w:t xml:space="preserve">2021. № 3. С. 54–57. </w:t>
      </w:r>
      <w:r w:rsidRPr="00313D00">
        <w:rPr>
          <w:rFonts w:cs="Times New Roman"/>
          <w:szCs w:val="28"/>
          <w:lang w:val="en-US"/>
        </w:rPr>
        <w:t>URL</w:t>
      </w:r>
      <w:r w:rsidRPr="00CE22B8">
        <w:rPr>
          <w:rFonts w:cs="Times New Roman"/>
          <w:szCs w:val="28"/>
        </w:rPr>
        <w:t xml:space="preserve">: </w:t>
      </w:r>
      <w:hyperlink r:id="rId17" w:history="1">
        <w:r w:rsidRPr="00313D00">
          <w:rPr>
            <w:rFonts w:cs="Times New Roman"/>
            <w:szCs w:val="28"/>
            <w:u w:val="single"/>
            <w:lang w:val="en-US"/>
          </w:rPr>
          <w:t>http</w:t>
        </w:r>
        <w:r w:rsidRPr="00CE22B8">
          <w:rPr>
            <w:rFonts w:cs="Times New Roman"/>
            <w:szCs w:val="28"/>
            <w:u w:val="single"/>
          </w:rPr>
          <w:t>://</w:t>
        </w:r>
        <w:r w:rsidRPr="00313D00">
          <w:rPr>
            <w:rFonts w:cs="Times New Roman"/>
            <w:szCs w:val="28"/>
            <w:u w:val="single"/>
            <w:lang w:val="en-US"/>
          </w:rPr>
          <w:t>www</w:t>
        </w:r>
        <w:r w:rsidRPr="00CE22B8">
          <w:rPr>
            <w:rFonts w:cs="Times New Roman"/>
            <w:szCs w:val="28"/>
            <w:u w:val="single"/>
          </w:rPr>
          <w:t>.</w:t>
        </w:r>
        <w:proofErr w:type="spellStart"/>
        <w:r w:rsidRPr="00313D00">
          <w:rPr>
            <w:rFonts w:cs="Times New Roman"/>
            <w:szCs w:val="28"/>
            <w:u w:val="single"/>
            <w:lang w:val="en-US"/>
          </w:rPr>
          <w:t>lsej</w:t>
        </w:r>
        <w:proofErr w:type="spellEnd"/>
        <w:r w:rsidRPr="00CE22B8">
          <w:rPr>
            <w:rFonts w:cs="Times New Roman"/>
            <w:szCs w:val="28"/>
            <w:u w:val="single"/>
          </w:rPr>
          <w:t>.</w:t>
        </w:r>
        <w:r w:rsidRPr="00313D00">
          <w:rPr>
            <w:rFonts w:cs="Times New Roman"/>
            <w:szCs w:val="28"/>
            <w:u w:val="single"/>
            <w:lang w:val="en-US"/>
          </w:rPr>
          <w:t>org</w:t>
        </w:r>
        <w:r w:rsidRPr="00CE22B8">
          <w:rPr>
            <w:rFonts w:cs="Times New Roman"/>
            <w:szCs w:val="28"/>
            <w:u w:val="single"/>
          </w:rPr>
          <w:t>.</w:t>
        </w:r>
        <w:proofErr w:type="spellStart"/>
        <w:r w:rsidRPr="00313D00">
          <w:rPr>
            <w:rFonts w:cs="Times New Roman"/>
            <w:szCs w:val="28"/>
            <w:u w:val="single"/>
            <w:lang w:val="en-US"/>
          </w:rPr>
          <w:t>ua</w:t>
        </w:r>
        <w:proofErr w:type="spellEnd"/>
        <w:r w:rsidRPr="00CE22B8">
          <w:rPr>
            <w:rFonts w:cs="Times New Roman"/>
            <w:szCs w:val="28"/>
            <w:u w:val="single"/>
          </w:rPr>
          <w:t>/</w:t>
        </w:r>
        <w:r w:rsidRPr="00313D00">
          <w:rPr>
            <w:rFonts w:cs="Times New Roman"/>
            <w:szCs w:val="28"/>
            <w:u w:val="single"/>
            <w:lang w:val="en-US"/>
          </w:rPr>
          <w:t>index</w:t>
        </w:r>
        <w:r w:rsidRPr="00CE22B8">
          <w:rPr>
            <w:rFonts w:cs="Times New Roman"/>
            <w:szCs w:val="28"/>
            <w:u w:val="single"/>
          </w:rPr>
          <w:t>.</w:t>
        </w:r>
        <w:r w:rsidRPr="00313D00">
          <w:rPr>
            <w:rFonts w:cs="Times New Roman"/>
            <w:szCs w:val="28"/>
            <w:u w:val="single"/>
            <w:lang w:val="en-US"/>
          </w:rPr>
          <w:t>php</w:t>
        </w:r>
        <w:r w:rsidRPr="00CE22B8">
          <w:rPr>
            <w:rFonts w:cs="Times New Roman"/>
            <w:szCs w:val="28"/>
            <w:u w:val="single"/>
          </w:rPr>
          <w:t>/</w:t>
        </w:r>
        <w:proofErr w:type="spellStart"/>
        <w:r w:rsidRPr="00313D00">
          <w:rPr>
            <w:rFonts w:cs="Times New Roman"/>
            <w:szCs w:val="28"/>
            <w:u w:val="single"/>
            <w:lang w:val="en-US"/>
          </w:rPr>
          <w:t>arkhiv</w:t>
        </w:r>
        <w:proofErr w:type="spellEnd"/>
        <w:r w:rsidRPr="00CE22B8">
          <w:rPr>
            <w:rFonts w:cs="Times New Roman"/>
            <w:szCs w:val="28"/>
            <w:u w:val="single"/>
          </w:rPr>
          <w:t>-</w:t>
        </w:r>
        <w:proofErr w:type="spellStart"/>
        <w:r w:rsidRPr="00313D00">
          <w:rPr>
            <w:rFonts w:cs="Times New Roman"/>
            <w:szCs w:val="28"/>
            <w:u w:val="single"/>
            <w:lang w:val="en-US"/>
          </w:rPr>
          <w:t>nomeriv</w:t>
        </w:r>
        <w:proofErr w:type="spellEnd"/>
        <w:r w:rsidRPr="00CE22B8">
          <w:rPr>
            <w:rFonts w:cs="Times New Roman"/>
            <w:szCs w:val="28"/>
            <w:u w:val="single"/>
          </w:rPr>
          <w:t>/2-</w:t>
        </w:r>
        <w:proofErr w:type="spellStart"/>
        <w:r w:rsidRPr="00313D00">
          <w:rPr>
            <w:rFonts w:cs="Times New Roman"/>
            <w:szCs w:val="28"/>
            <w:u w:val="single"/>
            <w:lang w:val="en-US"/>
          </w:rPr>
          <w:t>uncategorised</w:t>
        </w:r>
        <w:proofErr w:type="spellEnd"/>
        <w:r w:rsidRPr="00CE22B8">
          <w:rPr>
            <w:rFonts w:cs="Times New Roman"/>
            <w:szCs w:val="28"/>
            <w:u w:val="single"/>
          </w:rPr>
          <w:t>/135-3-2021</w:t>
        </w:r>
      </w:hyperlink>
      <w:r w:rsidRPr="00CE22B8">
        <w:rPr>
          <w:rFonts w:cs="Times New Roman"/>
          <w:szCs w:val="28"/>
        </w:rPr>
        <w:t xml:space="preserve"> (дата </w:t>
      </w:r>
      <w:proofErr w:type="spellStart"/>
      <w:r w:rsidRPr="00CE22B8">
        <w:rPr>
          <w:rFonts w:cs="Times New Roman"/>
          <w:szCs w:val="28"/>
        </w:rPr>
        <w:t>звернення</w:t>
      </w:r>
      <w:proofErr w:type="spellEnd"/>
      <w:r w:rsidRPr="00CE22B8">
        <w:rPr>
          <w:rFonts w:cs="Times New Roman"/>
          <w:szCs w:val="28"/>
        </w:rPr>
        <w:t>: 14.05.2025).</w:t>
      </w:r>
    </w:p>
    <w:p w14:paraId="7BE0B2FD" w14:textId="77777777" w:rsidR="00313D00" w:rsidRPr="00313D00" w:rsidRDefault="00313D00" w:rsidP="00313D00">
      <w:pPr>
        <w:pStyle w:val="a5"/>
        <w:numPr>
          <w:ilvl w:val="0"/>
          <w:numId w:val="9"/>
        </w:numPr>
        <w:autoSpaceDE w:val="0"/>
        <w:autoSpaceDN w:val="0"/>
        <w:adjustRightInd w:val="0"/>
        <w:jc w:val="both"/>
        <w:rPr>
          <w:rFonts w:cs="Times New Roman"/>
          <w:szCs w:val="28"/>
          <w:lang w:val="en-US"/>
        </w:rPr>
      </w:pPr>
      <w:proofErr w:type="spellStart"/>
      <w:r w:rsidRPr="00CE22B8">
        <w:rPr>
          <w:rFonts w:cs="Times New Roman"/>
          <w:szCs w:val="28"/>
        </w:rPr>
        <w:t>Лосовський</w:t>
      </w:r>
      <w:proofErr w:type="spellEnd"/>
      <w:r w:rsidRPr="00CE22B8">
        <w:rPr>
          <w:rFonts w:cs="Times New Roman"/>
          <w:szCs w:val="28"/>
        </w:rPr>
        <w:t xml:space="preserve"> І. С. </w:t>
      </w:r>
      <w:proofErr w:type="spellStart"/>
      <w:r w:rsidRPr="00CE22B8">
        <w:rPr>
          <w:rFonts w:cs="Times New Roman"/>
          <w:szCs w:val="28"/>
        </w:rPr>
        <w:t>Зовнішньополітична</w:t>
      </w:r>
      <w:proofErr w:type="spellEnd"/>
      <w:r w:rsidRPr="00CE22B8">
        <w:rPr>
          <w:rFonts w:cs="Times New Roman"/>
          <w:szCs w:val="28"/>
        </w:rPr>
        <w:t xml:space="preserve"> </w:t>
      </w:r>
      <w:proofErr w:type="spellStart"/>
      <w:r w:rsidRPr="00CE22B8">
        <w:rPr>
          <w:rFonts w:cs="Times New Roman"/>
          <w:szCs w:val="28"/>
        </w:rPr>
        <w:t>стратегія</w:t>
      </w:r>
      <w:proofErr w:type="spellEnd"/>
      <w:r w:rsidRPr="00CE22B8">
        <w:rPr>
          <w:rFonts w:cs="Times New Roman"/>
          <w:szCs w:val="28"/>
        </w:rPr>
        <w:t xml:space="preserve"> </w:t>
      </w:r>
      <w:proofErr w:type="spellStart"/>
      <w:r w:rsidRPr="00CE22B8">
        <w:rPr>
          <w:rFonts w:cs="Times New Roman"/>
          <w:szCs w:val="28"/>
        </w:rPr>
        <w:t>Росії</w:t>
      </w:r>
      <w:proofErr w:type="spellEnd"/>
      <w:r w:rsidRPr="00CE22B8">
        <w:rPr>
          <w:rFonts w:cs="Times New Roman"/>
          <w:szCs w:val="28"/>
        </w:rPr>
        <w:t xml:space="preserve"> </w:t>
      </w:r>
      <w:proofErr w:type="spellStart"/>
      <w:r w:rsidRPr="00CE22B8">
        <w:rPr>
          <w:rFonts w:cs="Times New Roman"/>
          <w:szCs w:val="28"/>
        </w:rPr>
        <w:t>щодо</w:t>
      </w:r>
      <w:proofErr w:type="spellEnd"/>
      <w:r w:rsidRPr="00CE22B8">
        <w:rPr>
          <w:rFonts w:cs="Times New Roman"/>
          <w:szCs w:val="28"/>
        </w:rPr>
        <w:t xml:space="preserve"> </w:t>
      </w:r>
      <w:proofErr w:type="spellStart"/>
      <w:r w:rsidRPr="00CE22B8">
        <w:rPr>
          <w:rFonts w:cs="Times New Roman"/>
          <w:szCs w:val="28"/>
        </w:rPr>
        <w:t>країн</w:t>
      </w:r>
      <w:proofErr w:type="spellEnd"/>
      <w:r w:rsidRPr="00CE22B8">
        <w:rPr>
          <w:rFonts w:cs="Times New Roman"/>
          <w:szCs w:val="28"/>
        </w:rPr>
        <w:t xml:space="preserve"> </w:t>
      </w:r>
      <w:proofErr w:type="spellStart"/>
      <w:r w:rsidRPr="00CE22B8">
        <w:rPr>
          <w:rFonts w:cs="Times New Roman"/>
          <w:szCs w:val="28"/>
        </w:rPr>
        <w:t>пострадянського</w:t>
      </w:r>
      <w:proofErr w:type="spellEnd"/>
      <w:r w:rsidRPr="00CE22B8">
        <w:rPr>
          <w:rFonts w:cs="Times New Roman"/>
          <w:szCs w:val="28"/>
        </w:rPr>
        <w:t xml:space="preserve"> простору як </w:t>
      </w:r>
      <w:proofErr w:type="spellStart"/>
      <w:r w:rsidRPr="00CE22B8">
        <w:rPr>
          <w:rFonts w:cs="Times New Roman"/>
          <w:szCs w:val="28"/>
        </w:rPr>
        <w:t>реалізація</w:t>
      </w:r>
      <w:proofErr w:type="spellEnd"/>
      <w:r w:rsidRPr="00CE22B8">
        <w:rPr>
          <w:rFonts w:cs="Times New Roman"/>
          <w:szCs w:val="28"/>
        </w:rPr>
        <w:t xml:space="preserve"> «</w:t>
      </w:r>
      <w:proofErr w:type="spellStart"/>
      <w:r w:rsidRPr="00CE22B8">
        <w:rPr>
          <w:rFonts w:cs="Times New Roman"/>
          <w:szCs w:val="28"/>
        </w:rPr>
        <w:t>нової</w:t>
      </w:r>
      <w:proofErr w:type="spellEnd"/>
      <w:r w:rsidRPr="00CE22B8">
        <w:rPr>
          <w:rFonts w:cs="Times New Roman"/>
          <w:szCs w:val="28"/>
        </w:rPr>
        <w:t xml:space="preserve"> </w:t>
      </w:r>
      <w:proofErr w:type="spellStart"/>
      <w:r w:rsidRPr="00CE22B8">
        <w:rPr>
          <w:rFonts w:cs="Times New Roman"/>
          <w:szCs w:val="28"/>
        </w:rPr>
        <w:t>доктрини</w:t>
      </w:r>
      <w:proofErr w:type="spellEnd"/>
      <w:r w:rsidRPr="00CE22B8">
        <w:rPr>
          <w:rFonts w:cs="Times New Roman"/>
          <w:szCs w:val="28"/>
        </w:rPr>
        <w:t xml:space="preserve"> </w:t>
      </w:r>
      <w:proofErr w:type="spellStart"/>
      <w:r w:rsidRPr="00CE22B8">
        <w:rPr>
          <w:rFonts w:cs="Times New Roman"/>
          <w:szCs w:val="28"/>
        </w:rPr>
        <w:t>обмеженого</w:t>
      </w:r>
      <w:proofErr w:type="spellEnd"/>
      <w:r w:rsidRPr="00CE22B8">
        <w:rPr>
          <w:rFonts w:cs="Times New Roman"/>
          <w:szCs w:val="28"/>
        </w:rPr>
        <w:t xml:space="preserve"> </w:t>
      </w:r>
      <w:proofErr w:type="spellStart"/>
      <w:r w:rsidRPr="00CE22B8">
        <w:rPr>
          <w:rFonts w:cs="Times New Roman"/>
          <w:szCs w:val="28"/>
        </w:rPr>
        <w:t>суверенітету</w:t>
      </w:r>
      <w:proofErr w:type="spellEnd"/>
      <w:r w:rsidRPr="00CE22B8">
        <w:rPr>
          <w:rFonts w:cs="Times New Roman"/>
          <w:szCs w:val="28"/>
        </w:rPr>
        <w:t xml:space="preserve">». </w:t>
      </w:r>
      <w:proofErr w:type="spellStart"/>
      <w:r w:rsidRPr="00580D96">
        <w:rPr>
          <w:rFonts w:cs="Times New Roman"/>
          <w:i/>
          <w:iCs/>
          <w:szCs w:val="28"/>
          <w:lang w:val="en-US"/>
        </w:rPr>
        <w:t>Стратегічна</w:t>
      </w:r>
      <w:proofErr w:type="spellEnd"/>
      <w:r w:rsidRPr="00580D96">
        <w:rPr>
          <w:rFonts w:cs="Times New Roman"/>
          <w:i/>
          <w:iCs/>
          <w:szCs w:val="28"/>
          <w:lang w:val="en-US"/>
        </w:rPr>
        <w:t xml:space="preserve"> </w:t>
      </w:r>
      <w:proofErr w:type="spellStart"/>
      <w:r w:rsidRPr="00580D96">
        <w:rPr>
          <w:rFonts w:cs="Times New Roman"/>
          <w:i/>
          <w:iCs/>
          <w:szCs w:val="28"/>
          <w:lang w:val="en-US"/>
        </w:rPr>
        <w:t>панорама</w:t>
      </w:r>
      <w:proofErr w:type="spellEnd"/>
      <w:r w:rsidRPr="00580D96">
        <w:rPr>
          <w:rFonts w:cs="Times New Roman"/>
          <w:i/>
          <w:iCs/>
          <w:szCs w:val="28"/>
          <w:lang w:val="en-US"/>
        </w:rPr>
        <w:t>.</w:t>
      </w:r>
      <w:r w:rsidRPr="00313D00">
        <w:rPr>
          <w:rFonts w:cs="Times New Roman"/>
          <w:szCs w:val="28"/>
          <w:lang w:val="en-US"/>
        </w:rPr>
        <w:t xml:space="preserve"> 2018. № 2. С. 19–30.</w:t>
      </w:r>
    </w:p>
    <w:p w14:paraId="763F86D9" w14:textId="77777777" w:rsidR="00313D00" w:rsidRPr="00CE22B8" w:rsidRDefault="00313D00" w:rsidP="00313D00">
      <w:pPr>
        <w:pStyle w:val="a5"/>
        <w:numPr>
          <w:ilvl w:val="0"/>
          <w:numId w:val="9"/>
        </w:numPr>
        <w:autoSpaceDE w:val="0"/>
        <w:autoSpaceDN w:val="0"/>
        <w:adjustRightInd w:val="0"/>
        <w:jc w:val="both"/>
        <w:rPr>
          <w:rFonts w:cs="Times New Roman"/>
          <w:szCs w:val="28"/>
        </w:rPr>
      </w:pPr>
      <w:proofErr w:type="spellStart"/>
      <w:r w:rsidRPr="00CE22B8">
        <w:rPr>
          <w:rFonts w:cs="Times New Roman"/>
          <w:szCs w:val="28"/>
        </w:rPr>
        <w:t>Максак</w:t>
      </w:r>
      <w:proofErr w:type="spellEnd"/>
      <w:r w:rsidRPr="00CE22B8">
        <w:rPr>
          <w:rFonts w:cs="Times New Roman"/>
          <w:szCs w:val="28"/>
        </w:rPr>
        <w:t xml:space="preserve"> Г. </w:t>
      </w:r>
      <w:proofErr w:type="spellStart"/>
      <w:r w:rsidRPr="00CE22B8">
        <w:rPr>
          <w:rFonts w:cs="Times New Roman"/>
          <w:szCs w:val="28"/>
        </w:rPr>
        <w:t>Нові</w:t>
      </w:r>
      <w:proofErr w:type="spellEnd"/>
      <w:r w:rsidRPr="00CE22B8">
        <w:rPr>
          <w:rFonts w:cs="Times New Roman"/>
          <w:szCs w:val="28"/>
        </w:rPr>
        <w:t xml:space="preserve"> </w:t>
      </w:r>
      <w:proofErr w:type="spellStart"/>
      <w:r w:rsidRPr="00CE22B8">
        <w:rPr>
          <w:rFonts w:cs="Times New Roman"/>
          <w:szCs w:val="28"/>
        </w:rPr>
        <w:t>оборонні</w:t>
      </w:r>
      <w:proofErr w:type="spellEnd"/>
      <w:r w:rsidRPr="00CE22B8">
        <w:rPr>
          <w:rFonts w:cs="Times New Roman"/>
          <w:szCs w:val="28"/>
        </w:rPr>
        <w:t xml:space="preserve"> </w:t>
      </w:r>
      <w:proofErr w:type="spellStart"/>
      <w:r w:rsidRPr="00CE22B8">
        <w:rPr>
          <w:rFonts w:cs="Times New Roman"/>
          <w:szCs w:val="28"/>
        </w:rPr>
        <w:t>рубежі</w:t>
      </w:r>
      <w:proofErr w:type="spellEnd"/>
      <w:r w:rsidRPr="00CE22B8">
        <w:rPr>
          <w:rFonts w:cs="Times New Roman"/>
          <w:szCs w:val="28"/>
        </w:rPr>
        <w:t xml:space="preserve"> ЄС: </w:t>
      </w:r>
      <w:proofErr w:type="spellStart"/>
      <w:r w:rsidRPr="00CE22B8">
        <w:rPr>
          <w:rFonts w:cs="Times New Roman"/>
          <w:szCs w:val="28"/>
        </w:rPr>
        <w:t>перспективи</w:t>
      </w:r>
      <w:proofErr w:type="spellEnd"/>
      <w:r w:rsidRPr="00CE22B8">
        <w:rPr>
          <w:rFonts w:cs="Times New Roman"/>
          <w:szCs w:val="28"/>
        </w:rPr>
        <w:t xml:space="preserve"> для </w:t>
      </w:r>
      <w:proofErr w:type="spellStart"/>
      <w:r w:rsidRPr="00CE22B8">
        <w:rPr>
          <w:rFonts w:cs="Times New Roman"/>
          <w:szCs w:val="28"/>
        </w:rPr>
        <w:t>України</w:t>
      </w:r>
      <w:proofErr w:type="spellEnd"/>
      <w:r w:rsidRPr="00CE22B8">
        <w:rPr>
          <w:rFonts w:cs="Times New Roman"/>
          <w:szCs w:val="28"/>
        </w:rPr>
        <w:t xml:space="preserve">. 2022. </w:t>
      </w:r>
      <w:r w:rsidRPr="00313D00">
        <w:rPr>
          <w:rFonts w:cs="Times New Roman"/>
          <w:szCs w:val="28"/>
          <w:lang w:val="en-US"/>
        </w:rPr>
        <w:t>URL</w:t>
      </w:r>
      <w:r w:rsidRPr="00CE22B8">
        <w:rPr>
          <w:rFonts w:cs="Times New Roman"/>
          <w:szCs w:val="28"/>
        </w:rPr>
        <w:t xml:space="preserve">: </w:t>
      </w:r>
      <w:hyperlink r:id="rId18" w:history="1">
        <w:r w:rsidRPr="00313D00">
          <w:rPr>
            <w:rFonts w:cs="Times New Roman"/>
            <w:szCs w:val="28"/>
            <w:u w:val="single"/>
            <w:lang w:val="en-US"/>
          </w:rPr>
          <w:t>https</w:t>
        </w:r>
        <w:r w:rsidRPr="00CE22B8">
          <w:rPr>
            <w:rFonts w:cs="Times New Roman"/>
            <w:szCs w:val="28"/>
            <w:u w:val="single"/>
          </w:rPr>
          <w:t>://</w:t>
        </w:r>
        <w:proofErr w:type="spellStart"/>
        <w:r w:rsidRPr="00313D00">
          <w:rPr>
            <w:rFonts w:cs="Times New Roman"/>
            <w:szCs w:val="28"/>
            <w:u w:val="single"/>
            <w:lang w:val="en-US"/>
          </w:rPr>
          <w:t>prismua</w:t>
        </w:r>
        <w:proofErr w:type="spellEnd"/>
        <w:r w:rsidRPr="00CE22B8">
          <w:rPr>
            <w:rFonts w:cs="Times New Roman"/>
            <w:szCs w:val="28"/>
            <w:u w:val="single"/>
          </w:rPr>
          <w:t>.</w:t>
        </w:r>
        <w:r w:rsidRPr="00313D00">
          <w:rPr>
            <w:rFonts w:cs="Times New Roman"/>
            <w:szCs w:val="28"/>
            <w:u w:val="single"/>
            <w:lang w:val="en-US"/>
          </w:rPr>
          <w:t>org</w:t>
        </w:r>
        <w:r w:rsidRPr="00CE22B8">
          <w:rPr>
            <w:rFonts w:cs="Times New Roman"/>
            <w:szCs w:val="28"/>
            <w:u w:val="single"/>
          </w:rPr>
          <w:t>/</w:t>
        </w:r>
        <w:r w:rsidRPr="00313D00">
          <w:rPr>
            <w:rFonts w:cs="Times New Roman"/>
            <w:szCs w:val="28"/>
            <w:u w:val="single"/>
            <w:lang w:val="en-US"/>
          </w:rPr>
          <w:t>wp</w:t>
        </w:r>
        <w:r w:rsidRPr="00CE22B8">
          <w:rPr>
            <w:rFonts w:cs="Times New Roman"/>
            <w:szCs w:val="28"/>
            <w:u w:val="single"/>
          </w:rPr>
          <w:t>-</w:t>
        </w:r>
        <w:r w:rsidRPr="00313D00">
          <w:rPr>
            <w:rFonts w:cs="Times New Roman"/>
            <w:szCs w:val="28"/>
            <w:u w:val="single"/>
            <w:lang w:val="en-US"/>
          </w:rPr>
          <w:t>content</w:t>
        </w:r>
        <w:r w:rsidRPr="00CE22B8">
          <w:rPr>
            <w:rFonts w:cs="Times New Roman"/>
            <w:szCs w:val="28"/>
            <w:u w:val="single"/>
          </w:rPr>
          <w:t>/</w:t>
        </w:r>
        <w:r w:rsidRPr="00313D00">
          <w:rPr>
            <w:rFonts w:cs="Times New Roman"/>
            <w:szCs w:val="28"/>
            <w:u w:val="single"/>
            <w:lang w:val="en-US"/>
          </w:rPr>
          <w:t>uploads</w:t>
        </w:r>
        <w:r w:rsidRPr="00CE22B8">
          <w:rPr>
            <w:rFonts w:cs="Times New Roman"/>
            <w:szCs w:val="28"/>
            <w:u w:val="single"/>
          </w:rPr>
          <w:t>/2022/12/</w:t>
        </w:r>
        <w:r w:rsidRPr="00313D00">
          <w:rPr>
            <w:rFonts w:cs="Times New Roman"/>
            <w:szCs w:val="28"/>
            <w:u w:val="single"/>
            <w:lang w:val="en-US"/>
          </w:rPr>
          <w:t>EU</w:t>
        </w:r>
        <w:r w:rsidRPr="00CE22B8">
          <w:rPr>
            <w:rFonts w:cs="Times New Roman"/>
            <w:szCs w:val="28"/>
            <w:u w:val="single"/>
          </w:rPr>
          <w:t>_</w:t>
        </w:r>
        <w:proofErr w:type="spellStart"/>
        <w:r w:rsidRPr="00313D00">
          <w:rPr>
            <w:rFonts w:cs="Times New Roman"/>
            <w:szCs w:val="28"/>
            <w:u w:val="single"/>
            <w:lang w:val="en-US"/>
          </w:rPr>
          <w:t>defence</w:t>
        </w:r>
        <w:proofErr w:type="spellEnd"/>
        <w:r w:rsidRPr="00CE22B8">
          <w:rPr>
            <w:rFonts w:cs="Times New Roman"/>
            <w:szCs w:val="28"/>
            <w:u w:val="single"/>
          </w:rPr>
          <w:t>_</w:t>
        </w:r>
        <w:proofErr w:type="spellStart"/>
        <w:r w:rsidRPr="00313D00">
          <w:rPr>
            <w:rFonts w:cs="Times New Roman"/>
            <w:szCs w:val="28"/>
            <w:u w:val="single"/>
            <w:lang w:val="en-US"/>
          </w:rPr>
          <w:t>ukr</w:t>
        </w:r>
        <w:proofErr w:type="spellEnd"/>
        <w:r w:rsidRPr="00CE22B8">
          <w:rPr>
            <w:rFonts w:cs="Times New Roman"/>
            <w:szCs w:val="28"/>
            <w:u w:val="single"/>
          </w:rPr>
          <w:t>.</w:t>
        </w:r>
        <w:r w:rsidRPr="00313D00">
          <w:rPr>
            <w:rFonts w:cs="Times New Roman"/>
            <w:szCs w:val="28"/>
            <w:u w:val="single"/>
            <w:lang w:val="en-US"/>
          </w:rPr>
          <w:t>pdf</w:t>
        </w:r>
      </w:hyperlink>
      <w:r w:rsidRPr="00CE22B8">
        <w:rPr>
          <w:rFonts w:cs="Times New Roman"/>
          <w:szCs w:val="28"/>
        </w:rPr>
        <w:t xml:space="preserve"> (дата </w:t>
      </w:r>
      <w:proofErr w:type="spellStart"/>
      <w:r w:rsidRPr="00CE22B8">
        <w:rPr>
          <w:rFonts w:cs="Times New Roman"/>
          <w:szCs w:val="28"/>
        </w:rPr>
        <w:t>звернення</w:t>
      </w:r>
      <w:proofErr w:type="spellEnd"/>
      <w:r w:rsidRPr="00CE22B8">
        <w:rPr>
          <w:rFonts w:cs="Times New Roman"/>
          <w:szCs w:val="28"/>
        </w:rPr>
        <w:t>: 14.05.2025).</w:t>
      </w:r>
    </w:p>
    <w:p w14:paraId="7E252518" w14:textId="77777777" w:rsidR="00313D00" w:rsidRPr="00313D00" w:rsidRDefault="00313D00" w:rsidP="00313D00">
      <w:pPr>
        <w:pStyle w:val="a5"/>
        <w:numPr>
          <w:ilvl w:val="0"/>
          <w:numId w:val="9"/>
        </w:numPr>
        <w:autoSpaceDE w:val="0"/>
        <w:autoSpaceDN w:val="0"/>
        <w:adjustRightInd w:val="0"/>
        <w:jc w:val="both"/>
        <w:rPr>
          <w:rFonts w:cs="Times New Roman"/>
          <w:szCs w:val="28"/>
          <w:lang w:val="en-US"/>
        </w:rPr>
      </w:pPr>
      <w:proofErr w:type="spellStart"/>
      <w:r w:rsidRPr="00CE22B8">
        <w:rPr>
          <w:rFonts w:cs="Times New Roman"/>
          <w:szCs w:val="28"/>
        </w:rPr>
        <w:t>Нападиста</w:t>
      </w:r>
      <w:proofErr w:type="spellEnd"/>
      <w:r w:rsidRPr="00CE22B8">
        <w:rPr>
          <w:rFonts w:cs="Times New Roman"/>
          <w:szCs w:val="28"/>
        </w:rPr>
        <w:t xml:space="preserve"> В. </w:t>
      </w:r>
      <w:proofErr w:type="spellStart"/>
      <w:r w:rsidRPr="00CE22B8">
        <w:rPr>
          <w:rFonts w:cs="Times New Roman"/>
          <w:szCs w:val="28"/>
        </w:rPr>
        <w:t>Україна</w:t>
      </w:r>
      <w:proofErr w:type="spellEnd"/>
      <w:r w:rsidRPr="00CE22B8">
        <w:rPr>
          <w:rFonts w:cs="Times New Roman"/>
          <w:szCs w:val="28"/>
        </w:rPr>
        <w:t xml:space="preserve"> в </w:t>
      </w:r>
      <w:proofErr w:type="spellStart"/>
      <w:r w:rsidRPr="00CE22B8">
        <w:rPr>
          <w:rFonts w:cs="Times New Roman"/>
          <w:szCs w:val="28"/>
        </w:rPr>
        <w:t>контексті</w:t>
      </w:r>
      <w:proofErr w:type="spellEnd"/>
      <w:r w:rsidRPr="00CE22B8">
        <w:rPr>
          <w:rFonts w:cs="Times New Roman"/>
          <w:szCs w:val="28"/>
        </w:rPr>
        <w:t xml:space="preserve"> </w:t>
      </w:r>
      <w:proofErr w:type="spellStart"/>
      <w:r w:rsidRPr="00CE22B8">
        <w:rPr>
          <w:rFonts w:cs="Times New Roman"/>
          <w:szCs w:val="28"/>
        </w:rPr>
        <w:t>викликів</w:t>
      </w:r>
      <w:proofErr w:type="spellEnd"/>
      <w:r w:rsidRPr="00CE22B8">
        <w:rPr>
          <w:rFonts w:cs="Times New Roman"/>
          <w:szCs w:val="28"/>
        </w:rPr>
        <w:t xml:space="preserve"> та </w:t>
      </w:r>
      <w:proofErr w:type="spellStart"/>
      <w:r w:rsidRPr="00CE22B8">
        <w:rPr>
          <w:rFonts w:cs="Times New Roman"/>
          <w:szCs w:val="28"/>
        </w:rPr>
        <w:t>загроз</w:t>
      </w:r>
      <w:proofErr w:type="spellEnd"/>
      <w:r w:rsidRPr="00CE22B8">
        <w:rPr>
          <w:rFonts w:cs="Times New Roman"/>
          <w:szCs w:val="28"/>
        </w:rPr>
        <w:t xml:space="preserve">: </w:t>
      </w:r>
      <w:proofErr w:type="spellStart"/>
      <w:r w:rsidRPr="00CE22B8">
        <w:rPr>
          <w:rFonts w:cs="Times New Roman"/>
          <w:szCs w:val="28"/>
        </w:rPr>
        <w:t>погляд</w:t>
      </w:r>
      <w:proofErr w:type="spellEnd"/>
      <w:r w:rsidRPr="00CE22B8">
        <w:rPr>
          <w:rFonts w:cs="Times New Roman"/>
          <w:szCs w:val="28"/>
        </w:rPr>
        <w:t xml:space="preserve"> з </w:t>
      </w:r>
      <w:proofErr w:type="spellStart"/>
      <w:r w:rsidRPr="00CE22B8">
        <w:rPr>
          <w:rFonts w:cs="Times New Roman"/>
          <w:szCs w:val="28"/>
        </w:rPr>
        <w:t>країн</w:t>
      </w:r>
      <w:proofErr w:type="spellEnd"/>
      <w:r w:rsidRPr="00CE22B8">
        <w:rPr>
          <w:rFonts w:cs="Times New Roman"/>
          <w:szCs w:val="28"/>
        </w:rPr>
        <w:t xml:space="preserve"> </w:t>
      </w:r>
      <w:proofErr w:type="spellStart"/>
      <w:r w:rsidRPr="00CE22B8">
        <w:rPr>
          <w:rFonts w:cs="Times New Roman"/>
          <w:szCs w:val="28"/>
        </w:rPr>
        <w:t>Балтії</w:t>
      </w:r>
      <w:proofErr w:type="spellEnd"/>
      <w:r w:rsidRPr="00CE22B8">
        <w:rPr>
          <w:rFonts w:cs="Times New Roman"/>
          <w:szCs w:val="28"/>
        </w:rPr>
        <w:t xml:space="preserve">. </w:t>
      </w:r>
      <w:proofErr w:type="spellStart"/>
      <w:r w:rsidRPr="00580D96">
        <w:rPr>
          <w:rFonts w:cs="Times New Roman"/>
          <w:i/>
          <w:iCs/>
          <w:szCs w:val="28"/>
        </w:rPr>
        <w:t>Наукові</w:t>
      </w:r>
      <w:proofErr w:type="spellEnd"/>
      <w:r w:rsidRPr="00580D96">
        <w:rPr>
          <w:rFonts w:cs="Times New Roman"/>
          <w:i/>
          <w:iCs/>
          <w:szCs w:val="28"/>
        </w:rPr>
        <w:t xml:space="preserve"> записки </w:t>
      </w:r>
      <w:proofErr w:type="spellStart"/>
      <w:r w:rsidRPr="00580D96">
        <w:rPr>
          <w:rFonts w:cs="Times New Roman"/>
          <w:i/>
          <w:iCs/>
          <w:szCs w:val="28"/>
        </w:rPr>
        <w:t>Інституту</w:t>
      </w:r>
      <w:proofErr w:type="spellEnd"/>
      <w:r w:rsidRPr="00580D96">
        <w:rPr>
          <w:rFonts w:cs="Times New Roman"/>
          <w:i/>
          <w:iCs/>
          <w:szCs w:val="28"/>
        </w:rPr>
        <w:t xml:space="preserve"> </w:t>
      </w:r>
      <w:proofErr w:type="spellStart"/>
      <w:r w:rsidRPr="00580D96">
        <w:rPr>
          <w:rFonts w:cs="Times New Roman"/>
          <w:i/>
          <w:iCs/>
          <w:szCs w:val="28"/>
        </w:rPr>
        <w:t>політичних</w:t>
      </w:r>
      <w:proofErr w:type="spellEnd"/>
      <w:r w:rsidRPr="00580D96">
        <w:rPr>
          <w:rFonts w:cs="Times New Roman"/>
          <w:i/>
          <w:iCs/>
          <w:szCs w:val="28"/>
        </w:rPr>
        <w:t xml:space="preserve"> і </w:t>
      </w:r>
      <w:proofErr w:type="spellStart"/>
      <w:r w:rsidRPr="00580D96">
        <w:rPr>
          <w:rFonts w:cs="Times New Roman"/>
          <w:i/>
          <w:iCs/>
          <w:szCs w:val="28"/>
        </w:rPr>
        <w:t>етнонаціональних</w:t>
      </w:r>
      <w:proofErr w:type="spellEnd"/>
      <w:r w:rsidRPr="00580D96">
        <w:rPr>
          <w:rFonts w:cs="Times New Roman"/>
          <w:i/>
          <w:iCs/>
          <w:szCs w:val="28"/>
        </w:rPr>
        <w:t xml:space="preserve"> </w:t>
      </w:r>
      <w:proofErr w:type="spellStart"/>
      <w:r w:rsidRPr="00580D96">
        <w:rPr>
          <w:rFonts w:cs="Times New Roman"/>
          <w:i/>
          <w:iCs/>
          <w:szCs w:val="28"/>
        </w:rPr>
        <w:t>досліджень</w:t>
      </w:r>
      <w:proofErr w:type="spellEnd"/>
      <w:r w:rsidRPr="00580D96">
        <w:rPr>
          <w:rFonts w:cs="Times New Roman"/>
          <w:i/>
          <w:iCs/>
          <w:szCs w:val="28"/>
        </w:rPr>
        <w:t xml:space="preserve"> </w:t>
      </w:r>
      <w:proofErr w:type="spellStart"/>
      <w:r w:rsidRPr="00580D96">
        <w:rPr>
          <w:rFonts w:cs="Times New Roman"/>
          <w:i/>
          <w:iCs/>
          <w:szCs w:val="28"/>
        </w:rPr>
        <w:t>ім</w:t>
      </w:r>
      <w:proofErr w:type="spellEnd"/>
      <w:r w:rsidRPr="00580D96">
        <w:rPr>
          <w:rFonts w:cs="Times New Roman"/>
          <w:i/>
          <w:iCs/>
          <w:szCs w:val="28"/>
        </w:rPr>
        <w:t xml:space="preserve">. І. Ф. </w:t>
      </w:r>
      <w:proofErr w:type="spellStart"/>
      <w:r w:rsidRPr="00580D96">
        <w:rPr>
          <w:rFonts w:cs="Times New Roman"/>
          <w:i/>
          <w:iCs/>
          <w:szCs w:val="28"/>
        </w:rPr>
        <w:t>Кураса</w:t>
      </w:r>
      <w:proofErr w:type="spellEnd"/>
      <w:r w:rsidRPr="00580D96">
        <w:rPr>
          <w:rFonts w:cs="Times New Roman"/>
          <w:i/>
          <w:iCs/>
          <w:szCs w:val="28"/>
        </w:rPr>
        <w:t xml:space="preserve"> НАН </w:t>
      </w:r>
      <w:proofErr w:type="spellStart"/>
      <w:r w:rsidRPr="00580D96">
        <w:rPr>
          <w:rFonts w:cs="Times New Roman"/>
          <w:i/>
          <w:iCs/>
          <w:szCs w:val="28"/>
        </w:rPr>
        <w:t>України</w:t>
      </w:r>
      <w:proofErr w:type="spellEnd"/>
      <w:r w:rsidRPr="00CE22B8">
        <w:rPr>
          <w:rFonts w:cs="Times New Roman"/>
          <w:szCs w:val="28"/>
        </w:rPr>
        <w:t xml:space="preserve">. </w:t>
      </w:r>
      <w:r w:rsidRPr="00313D00">
        <w:rPr>
          <w:rFonts w:cs="Times New Roman"/>
          <w:szCs w:val="28"/>
          <w:lang w:val="en-US"/>
        </w:rPr>
        <w:t xml:space="preserve">2018. </w:t>
      </w:r>
      <w:proofErr w:type="spellStart"/>
      <w:r w:rsidRPr="00313D00">
        <w:rPr>
          <w:rFonts w:cs="Times New Roman"/>
          <w:szCs w:val="28"/>
          <w:lang w:val="en-US"/>
        </w:rPr>
        <w:t>Вип</w:t>
      </w:r>
      <w:proofErr w:type="spellEnd"/>
      <w:r w:rsidRPr="00313D00">
        <w:rPr>
          <w:rFonts w:cs="Times New Roman"/>
          <w:szCs w:val="28"/>
          <w:lang w:val="en-US"/>
        </w:rPr>
        <w:t>. 1 (93). С. 243–268.</w:t>
      </w:r>
    </w:p>
    <w:p w14:paraId="720D0A11" w14:textId="77777777" w:rsidR="00313D00" w:rsidRPr="00313D00" w:rsidRDefault="00313D00" w:rsidP="00313D00">
      <w:pPr>
        <w:pStyle w:val="a5"/>
        <w:numPr>
          <w:ilvl w:val="0"/>
          <w:numId w:val="9"/>
        </w:numPr>
        <w:autoSpaceDE w:val="0"/>
        <w:autoSpaceDN w:val="0"/>
        <w:adjustRightInd w:val="0"/>
        <w:jc w:val="both"/>
        <w:rPr>
          <w:rFonts w:cs="Times New Roman"/>
          <w:szCs w:val="28"/>
          <w:lang w:val="en-US"/>
        </w:rPr>
      </w:pPr>
      <w:proofErr w:type="spellStart"/>
      <w:r w:rsidRPr="00313D00">
        <w:rPr>
          <w:rFonts w:cs="Times New Roman"/>
          <w:szCs w:val="28"/>
          <w:lang w:val="en-US"/>
        </w:rPr>
        <w:lastRenderedPageBreak/>
        <w:t>Палагнюк</w:t>
      </w:r>
      <w:proofErr w:type="spellEnd"/>
      <w:r w:rsidRPr="00313D00">
        <w:rPr>
          <w:rFonts w:cs="Times New Roman"/>
          <w:szCs w:val="28"/>
          <w:lang w:val="en-US"/>
        </w:rPr>
        <w:t xml:space="preserve"> Ю. </w:t>
      </w:r>
      <w:proofErr w:type="spellStart"/>
      <w:r w:rsidRPr="00313D00">
        <w:rPr>
          <w:rFonts w:cs="Times New Roman"/>
          <w:szCs w:val="28"/>
          <w:lang w:val="en-US"/>
        </w:rPr>
        <w:t>Механізми</w:t>
      </w:r>
      <w:proofErr w:type="spellEnd"/>
      <w:r w:rsidRPr="00313D00">
        <w:rPr>
          <w:rFonts w:cs="Times New Roman"/>
          <w:szCs w:val="28"/>
          <w:lang w:val="en-US"/>
        </w:rPr>
        <w:t xml:space="preserve"> </w:t>
      </w:r>
      <w:proofErr w:type="spellStart"/>
      <w:r w:rsidRPr="00313D00">
        <w:rPr>
          <w:rFonts w:cs="Times New Roman"/>
          <w:szCs w:val="28"/>
          <w:lang w:val="en-US"/>
        </w:rPr>
        <w:t>інтеграції</w:t>
      </w:r>
      <w:proofErr w:type="spellEnd"/>
      <w:r w:rsidRPr="00313D00">
        <w:rPr>
          <w:rFonts w:cs="Times New Roman"/>
          <w:szCs w:val="28"/>
          <w:lang w:val="en-US"/>
        </w:rPr>
        <w:t xml:space="preserve"> </w:t>
      </w:r>
      <w:proofErr w:type="spellStart"/>
      <w:r w:rsidRPr="00313D00">
        <w:rPr>
          <w:rFonts w:cs="Times New Roman"/>
          <w:szCs w:val="28"/>
          <w:lang w:val="en-US"/>
        </w:rPr>
        <w:t>держав</w:t>
      </w:r>
      <w:proofErr w:type="spellEnd"/>
      <w:r w:rsidRPr="00313D00">
        <w:rPr>
          <w:rFonts w:cs="Times New Roman"/>
          <w:szCs w:val="28"/>
          <w:lang w:val="en-US"/>
        </w:rPr>
        <w:t xml:space="preserve"> </w:t>
      </w:r>
      <w:proofErr w:type="spellStart"/>
      <w:r w:rsidRPr="00313D00">
        <w:rPr>
          <w:rFonts w:cs="Times New Roman"/>
          <w:szCs w:val="28"/>
          <w:lang w:val="en-US"/>
        </w:rPr>
        <w:t>Центральної</w:t>
      </w:r>
      <w:proofErr w:type="spellEnd"/>
      <w:r w:rsidRPr="00313D00">
        <w:rPr>
          <w:rFonts w:cs="Times New Roman"/>
          <w:szCs w:val="28"/>
          <w:lang w:val="en-US"/>
        </w:rPr>
        <w:t xml:space="preserve"> </w:t>
      </w:r>
      <w:proofErr w:type="spellStart"/>
      <w:r w:rsidRPr="00313D00">
        <w:rPr>
          <w:rFonts w:cs="Times New Roman"/>
          <w:szCs w:val="28"/>
          <w:lang w:val="en-US"/>
        </w:rPr>
        <w:t>та</w:t>
      </w:r>
      <w:proofErr w:type="spellEnd"/>
      <w:r w:rsidRPr="00313D00">
        <w:rPr>
          <w:rFonts w:cs="Times New Roman"/>
          <w:szCs w:val="28"/>
          <w:lang w:val="en-US"/>
        </w:rPr>
        <w:t xml:space="preserve"> </w:t>
      </w:r>
      <w:proofErr w:type="spellStart"/>
      <w:r w:rsidRPr="00313D00">
        <w:rPr>
          <w:rFonts w:cs="Times New Roman"/>
          <w:szCs w:val="28"/>
          <w:lang w:val="en-US"/>
        </w:rPr>
        <w:t>Східної</w:t>
      </w:r>
      <w:proofErr w:type="spellEnd"/>
      <w:r w:rsidRPr="00313D00">
        <w:rPr>
          <w:rFonts w:cs="Times New Roman"/>
          <w:szCs w:val="28"/>
          <w:lang w:val="en-US"/>
        </w:rPr>
        <w:t xml:space="preserve"> </w:t>
      </w:r>
      <w:proofErr w:type="spellStart"/>
      <w:r w:rsidRPr="00313D00">
        <w:rPr>
          <w:rFonts w:cs="Times New Roman"/>
          <w:szCs w:val="28"/>
          <w:lang w:val="en-US"/>
        </w:rPr>
        <w:t>Європи</w:t>
      </w:r>
      <w:proofErr w:type="spellEnd"/>
      <w:r w:rsidRPr="00313D00">
        <w:rPr>
          <w:rFonts w:cs="Times New Roman"/>
          <w:szCs w:val="28"/>
          <w:lang w:val="en-US"/>
        </w:rPr>
        <w:t xml:space="preserve"> у </w:t>
      </w:r>
      <w:proofErr w:type="spellStart"/>
      <w:r w:rsidRPr="00313D00">
        <w:rPr>
          <w:rFonts w:cs="Times New Roman"/>
          <w:szCs w:val="28"/>
          <w:lang w:val="en-US"/>
        </w:rPr>
        <w:t>Європейський</w:t>
      </w:r>
      <w:proofErr w:type="spellEnd"/>
      <w:r w:rsidRPr="00313D00">
        <w:rPr>
          <w:rFonts w:cs="Times New Roman"/>
          <w:szCs w:val="28"/>
          <w:lang w:val="en-US"/>
        </w:rPr>
        <w:t xml:space="preserve"> </w:t>
      </w:r>
      <w:proofErr w:type="spellStart"/>
      <w:r w:rsidRPr="00313D00">
        <w:rPr>
          <w:rFonts w:cs="Times New Roman"/>
          <w:szCs w:val="28"/>
          <w:lang w:val="en-US"/>
        </w:rPr>
        <w:t>Союз</w:t>
      </w:r>
      <w:proofErr w:type="spellEnd"/>
      <w:r w:rsidRPr="00313D00">
        <w:rPr>
          <w:rFonts w:cs="Times New Roman"/>
          <w:szCs w:val="28"/>
          <w:lang w:val="en-US"/>
        </w:rPr>
        <w:t xml:space="preserve">. </w:t>
      </w:r>
      <w:proofErr w:type="spellStart"/>
      <w:r w:rsidRPr="00580D96">
        <w:rPr>
          <w:rFonts w:cs="Times New Roman"/>
          <w:i/>
          <w:iCs/>
          <w:szCs w:val="28"/>
          <w:lang w:val="en-US"/>
        </w:rPr>
        <w:t>Державне</w:t>
      </w:r>
      <w:proofErr w:type="spellEnd"/>
      <w:r w:rsidRPr="00580D96">
        <w:rPr>
          <w:rFonts w:cs="Times New Roman"/>
          <w:i/>
          <w:iCs/>
          <w:szCs w:val="28"/>
          <w:lang w:val="en-US"/>
        </w:rPr>
        <w:t xml:space="preserve"> </w:t>
      </w:r>
      <w:proofErr w:type="spellStart"/>
      <w:r w:rsidRPr="00580D96">
        <w:rPr>
          <w:rFonts w:cs="Times New Roman"/>
          <w:i/>
          <w:iCs/>
          <w:szCs w:val="28"/>
          <w:lang w:val="en-US"/>
        </w:rPr>
        <w:t>управління</w:t>
      </w:r>
      <w:proofErr w:type="spellEnd"/>
      <w:r w:rsidRPr="00580D96">
        <w:rPr>
          <w:rFonts w:cs="Times New Roman"/>
          <w:i/>
          <w:iCs/>
          <w:szCs w:val="28"/>
          <w:lang w:val="en-US"/>
        </w:rPr>
        <w:t xml:space="preserve"> </w:t>
      </w:r>
      <w:proofErr w:type="spellStart"/>
      <w:r w:rsidRPr="00580D96">
        <w:rPr>
          <w:rFonts w:cs="Times New Roman"/>
          <w:i/>
          <w:iCs/>
          <w:szCs w:val="28"/>
          <w:lang w:val="en-US"/>
        </w:rPr>
        <w:t>та</w:t>
      </w:r>
      <w:proofErr w:type="spellEnd"/>
      <w:r w:rsidRPr="00580D96">
        <w:rPr>
          <w:rFonts w:cs="Times New Roman"/>
          <w:i/>
          <w:iCs/>
          <w:szCs w:val="28"/>
          <w:lang w:val="en-US"/>
        </w:rPr>
        <w:t xml:space="preserve"> </w:t>
      </w:r>
      <w:proofErr w:type="spellStart"/>
      <w:r w:rsidRPr="00580D96">
        <w:rPr>
          <w:rFonts w:cs="Times New Roman"/>
          <w:i/>
          <w:iCs/>
          <w:szCs w:val="28"/>
          <w:lang w:val="en-US"/>
        </w:rPr>
        <w:t>місцеве</w:t>
      </w:r>
      <w:proofErr w:type="spellEnd"/>
      <w:r w:rsidRPr="00580D96">
        <w:rPr>
          <w:rFonts w:cs="Times New Roman"/>
          <w:i/>
          <w:iCs/>
          <w:szCs w:val="28"/>
          <w:lang w:val="en-US"/>
        </w:rPr>
        <w:t xml:space="preserve"> </w:t>
      </w:r>
      <w:proofErr w:type="spellStart"/>
      <w:r w:rsidRPr="00580D96">
        <w:rPr>
          <w:rFonts w:cs="Times New Roman"/>
          <w:i/>
          <w:iCs/>
          <w:szCs w:val="28"/>
          <w:lang w:val="en-US"/>
        </w:rPr>
        <w:t>самоврядування</w:t>
      </w:r>
      <w:proofErr w:type="spellEnd"/>
      <w:r w:rsidRPr="00313D00">
        <w:rPr>
          <w:rFonts w:cs="Times New Roman"/>
          <w:szCs w:val="28"/>
          <w:lang w:val="en-US"/>
        </w:rPr>
        <w:t xml:space="preserve">. 2013. </w:t>
      </w:r>
      <w:proofErr w:type="spellStart"/>
      <w:r w:rsidRPr="00313D00">
        <w:rPr>
          <w:rFonts w:cs="Times New Roman"/>
          <w:szCs w:val="28"/>
          <w:lang w:val="en-US"/>
        </w:rPr>
        <w:t>Вип</w:t>
      </w:r>
      <w:proofErr w:type="spellEnd"/>
      <w:r w:rsidRPr="00313D00">
        <w:rPr>
          <w:rFonts w:cs="Times New Roman"/>
          <w:szCs w:val="28"/>
          <w:lang w:val="en-US"/>
        </w:rPr>
        <w:t>. 4 (19). С. 115–122.</w:t>
      </w:r>
    </w:p>
    <w:p w14:paraId="79483438" w14:textId="77777777" w:rsidR="00313D00" w:rsidRPr="00313D00" w:rsidRDefault="00313D00" w:rsidP="00313D00">
      <w:pPr>
        <w:pStyle w:val="a5"/>
        <w:numPr>
          <w:ilvl w:val="0"/>
          <w:numId w:val="9"/>
        </w:numPr>
        <w:autoSpaceDE w:val="0"/>
        <w:autoSpaceDN w:val="0"/>
        <w:adjustRightInd w:val="0"/>
        <w:jc w:val="both"/>
        <w:rPr>
          <w:rFonts w:cs="Times New Roman"/>
          <w:szCs w:val="28"/>
          <w:lang w:val="en-US"/>
        </w:rPr>
      </w:pPr>
      <w:proofErr w:type="spellStart"/>
      <w:r w:rsidRPr="00313D00">
        <w:rPr>
          <w:rFonts w:cs="Times New Roman"/>
          <w:szCs w:val="28"/>
          <w:lang w:val="en-US"/>
        </w:rPr>
        <w:t>Палій</w:t>
      </w:r>
      <w:proofErr w:type="spellEnd"/>
      <w:r w:rsidRPr="00313D00">
        <w:rPr>
          <w:rFonts w:cs="Times New Roman"/>
          <w:szCs w:val="28"/>
          <w:lang w:val="en-US"/>
        </w:rPr>
        <w:t xml:space="preserve"> О. А. </w:t>
      </w:r>
      <w:proofErr w:type="spellStart"/>
      <w:r w:rsidRPr="00313D00">
        <w:rPr>
          <w:rFonts w:cs="Times New Roman"/>
          <w:szCs w:val="28"/>
          <w:lang w:val="en-US"/>
        </w:rPr>
        <w:t>Специфіка</w:t>
      </w:r>
      <w:proofErr w:type="spellEnd"/>
      <w:r w:rsidRPr="00313D00">
        <w:rPr>
          <w:rFonts w:cs="Times New Roman"/>
          <w:szCs w:val="28"/>
          <w:lang w:val="en-US"/>
        </w:rPr>
        <w:t xml:space="preserve"> </w:t>
      </w:r>
      <w:proofErr w:type="spellStart"/>
      <w:r w:rsidRPr="00313D00">
        <w:rPr>
          <w:rFonts w:cs="Times New Roman"/>
          <w:szCs w:val="28"/>
          <w:lang w:val="en-US"/>
        </w:rPr>
        <w:t>та</w:t>
      </w:r>
      <w:proofErr w:type="spellEnd"/>
      <w:r w:rsidRPr="00313D00">
        <w:rPr>
          <w:rFonts w:cs="Times New Roman"/>
          <w:szCs w:val="28"/>
          <w:lang w:val="en-US"/>
        </w:rPr>
        <w:t xml:space="preserve"> </w:t>
      </w:r>
      <w:proofErr w:type="spellStart"/>
      <w:r w:rsidRPr="00313D00">
        <w:rPr>
          <w:rFonts w:cs="Times New Roman"/>
          <w:szCs w:val="28"/>
          <w:lang w:val="en-US"/>
        </w:rPr>
        <w:t>наслідки</w:t>
      </w:r>
      <w:proofErr w:type="spellEnd"/>
      <w:r w:rsidRPr="00313D00">
        <w:rPr>
          <w:rFonts w:cs="Times New Roman"/>
          <w:szCs w:val="28"/>
          <w:lang w:val="en-US"/>
        </w:rPr>
        <w:t xml:space="preserve"> </w:t>
      </w:r>
      <w:proofErr w:type="spellStart"/>
      <w:r w:rsidRPr="00313D00">
        <w:rPr>
          <w:rFonts w:cs="Times New Roman"/>
          <w:szCs w:val="28"/>
          <w:lang w:val="en-US"/>
        </w:rPr>
        <w:t>інтеграції</w:t>
      </w:r>
      <w:proofErr w:type="spellEnd"/>
      <w:r w:rsidRPr="00313D00">
        <w:rPr>
          <w:rFonts w:cs="Times New Roman"/>
          <w:szCs w:val="28"/>
          <w:lang w:val="en-US"/>
        </w:rPr>
        <w:t xml:space="preserve"> </w:t>
      </w:r>
      <w:proofErr w:type="spellStart"/>
      <w:r w:rsidRPr="00313D00">
        <w:rPr>
          <w:rFonts w:cs="Times New Roman"/>
          <w:szCs w:val="28"/>
          <w:lang w:val="en-US"/>
        </w:rPr>
        <w:t>країн</w:t>
      </w:r>
      <w:proofErr w:type="spellEnd"/>
      <w:r w:rsidRPr="00313D00">
        <w:rPr>
          <w:rFonts w:cs="Times New Roman"/>
          <w:szCs w:val="28"/>
          <w:lang w:val="en-US"/>
        </w:rPr>
        <w:t xml:space="preserve"> </w:t>
      </w:r>
      <w:proofErr w:type="spellStart"/>
      <w:r w:rsidRPr="00313D00">
        <w:rPr>
          <w:rFonts w:cs="Times New Roman"/>
          <w:szCs w:val="28"/>
          <w:lang w:val="en-US"/>
        </w:rPr>
        <w:t>Балтії</w:t>
      </w:r>
      <w:proofErr w:type="spellEnd"/>
      <w:r w:rsidRPr="00313D00">
        <w:rPr>
          <w:rFonts w:cs="Times New Roman"/>
          <w:szCs w:val="28"/>
          <w:lang w:val="en-US"/>
        </w:rPr>
        <w:t xml:space="preserve"> </w:t>
      </w:r>
      <w:proofErr w:type="spellStart"/>
      <w:r w:rsidRPr="00313D00">
        <w:rPr>
          <w:rFonts w:cs="Times New Roman"/>
          <w:szCs w:val="28"/>
          <w:lang w:val="en-US"/>
        </w:rPr>
        <w:t>до</w:t>
      </w:r>
      <w:proofErr w:type="spellEnd"/>
      <w:r w:rsidRPr="00313D00">
        <w:rPr>
          <w:rFonts w:cs="Times New Roman"/>
          <w:szCs w:val="28"/>
          <w:lang w:val="en-US"/>
        </w:rPr>
        <w:t xml:space="preserve"> </w:t>
      </w:r>
      <w:proofErr w:type="spellStart"/>
      <w:r w:rsidRPr="00313D00">
        <w:rPr>
          <w:rFonts w:cs="Times New Roman"/>
          <w:szCs w:val="28"/>
          <w:lang w:val="en-US"/>
        </w:rPr>
        <w:t>євроатлантичних</w:t>
      </w:r>
      <w:proofErr w:type="spellEnd"/>
      <w:r w:rsidRPr="00313D00">
        <w:rPr>
          <w:rFonts w:cs="Times New Roman"/>
          <w:szCs w:val="28"/>
          <w:lang w:val="en-US"/>
        </w:rPr>
        <w:t xml:space="preserve"> </w:t>
      </w:r>
      <w:proofErr w:type="spellStart"/>
      <w:r w:rsidRPr="00313D00">
        <w:rPr>
          <w:rFonts w:cs="Times New Roman"/>
          <w:szCs w:val="28"/>
          <w:lang w:val="en-US"/>
        </w:rPr>
        <w:t>структур</w:t>
      </w:r>
      <w:proofErr w:type="spellEnd"/>
      <w:r w:rsidRPr="00313D00">
        <w:rPr>
          <w:rFonts w:cs="Times New Roman"/>
          <w:szCs w:val="28"/>
          <w:lang w:val="en-US"/>
        </w:rPr>
        <w:t xml:space="preserve"> </w:t>
      </w:r>
      <w:proofErr w:type="spellStart"/>
      <w:r w:rsidRPr="00313D00">
        <w:rPr>
          <w:rFonts w:cs="Times New Roman"/>
          <w:szCs w:val="28"/>
          <w:lang w:val="en-US"/>
        </w:rPr>
        <w:t>безпеки</w:t>
      </w:r>
      <w:proofErr w:type="spellEnd"/>
      <w:r w:rsidRPr="00313D00">
        <w:rPr>
          <w:rFonts w:cs="Times New Roman"/>
          <w:szCs w:val="28"/>
          <w:lang w:val="en-US"/>
        </w:rPr>
        <w:t xml:space="preserve">. </w:t>
      </w:r>
      <w:proofErr w:type="spellStart"/>
      <w:r w:rsidRPr="00580D96">
        <w:rPr>
          <w:rFonts w:cs="Times New Roman"/>
          <w:i/>
          <w:iCs/>
          <w:szCs w:val="28"/>
          <w:lang w:val="en-US"/>
        </w:rPr>
        <w:t>Наукові</w:t>
      </w:r>
      <w:proofErr w:type="spellEnd"/>
      <w:r w:rsidRPr="00580D96">
        <w:rPr>
          <w:rFonts w:cs="Times New Roman"/>
          <w:i/>
          <w:iCs/>
          <w:szCs w:val="28"/>
          <w:lang w:val="en-US"/>
        </w:rPr>
        <w:t xml:space="preserve"> </w:t>
      </w:r>
      <w:proofErr w:type="spellStart"/>
      <w:r w:rsidRPr="00580D96">
        <w:rPr>
          <w:rFonts w:cs="Times New Roman"/>
          <w:i/>
          <w:iCs/>
          <w:szCs w:val="28"/>
          <w:lang w:val="en-US"/>
        </w:rPr>
        <w:t>записки</w:t>
      </w:r>
      <w:proofErr w:type="spellEnd"/>
      <w:r w:rsidRPr="00580D96">
        <w:rPr>
          <w:rFonts w:cs="Times New Roman"/>
          <w:i/>
          <w:iCs/>
          <w:szCs w:val="28"/>
          <w:lang w:val="en-US"/>
        </w:rPr>
        <w:t xml:space="preserve"> </w:t>
      </w:r>
      <w:proofErr w:type="spellStart"/>
      <w:r w:rsidRPr="00580D96">
        <w:rPr>
          <w:rFonts w:cs="Times New Roman"/>
          <w:i/>
          <w:iCs/>
          <w:szCs w:val="28"/>
          <w:lang w:val="en-US"/>
        </w:rPr>
        <w:t>НаУКМА</w:t>
      </w:r>
      <w:proofErr w:type="spellEnd"/>
      <w:r w:rsidRPr="00580D96">
        <w:rPr>
          <w:rFonts w:cs="Times New Roman"/>
          <w:i/>
          <w:iCs/>
          <w:szCs w:val="28"/>
          <w:lang w:val="en-US"/>
        </w:rPr>
        <w:t xml:space="preserve">. </w:t>
      </w:r>
      <w:proofErr w:type="spellStart"/>
      <w:r w:rsidRPr="00580D96">
        <w:rPr>
          <w:rFonts w:cs="Times New Roman"/>
          <w:i/>
          <w:iCs/>
          <w:szCs w:val="28"/>
          <w:lang w:val="en-US"/>
        </w:rPr>
        <w:t>Політичні</w:t>
      </w:r>
      <w:proofErr w:type="spellEnd"/>
      <w:r w:rsidRPr="00580D96">
        <w:rPr>
          <w:rFonts w:cs="Times New Roman"/>
          <w:i/>
          <w:iCs/>
          <w:szCs w:val="28"/>
          <w:lang w:val="en-US"/>
        </w:rPr>
        <w:t xml:space="preserve"> </w:t>
      </w:r>
      <w:proofErr w:type="spellStart"/>
      <w:r w:rsidRPr="00580D96">
        <w:rPr>
          <w:rFonts w:cs="Times New Roman"/>
          <w:i/>
          <w:iCs/>
          <w:szCs w:val="28"/>
          <w:lang w:val="en-US"/>
        </w:rPr>
        <w:t>науки</w:t>
      </w:r>
      <w:proofErr w:type="spellEnd"/>
      <w:r w:rsidRPr="00580D96">
        <w:rPr>
          <w:rFonts w:cs="Times New Roman"/>
          <w:i/>
          <w:iCs/>
          <w:szCs w:val="28"/>
          <w:lang w:val="en-US"/>
        </w:rPr>
        <w:t>.</w:t>
      </w:r>
      <w:r w:rsidRPr="00313D00">
        <w:rPr>
          <w:rFonts w:cs="Times New Roman"/>
          <w:szCs w:val="28"/>
          <w:lang w:val="en-US"/>
        </w:rPr>
        <w:t xml:space="preserve"> 2002. Т. 20. С. 55–60.</w:t>
      </w:r>
    </w:p>
    <w:p w14:paraId="620846E5" w14:textId="77777777" w:rsidR="00313D00" w:rsidRPr="00CE22B8" w:rsidRDefault="00313D00" w:rsidP="00313D00">
      <w:pPr>
        <w:pStyle w:val="a5"/>
        <w:numPr>
          <w:ilvl w:val="0"/>
          <w:numId w:val="9"/>
        </w:numPr>
        <w:autoSpaceDE w:val="0"/>
        <w:autoSpaceDN w:val="0"/>
        <w:adjustRightInd w:val="0"/>
        <w:jc w:val="both"/>
        <w:rPr>
          <w:rFonts w:cs="Times New Roman"/>
          <w:szCs w:val="28"/>
        </w:rPr>
      </w:pPr>
      <w:r w:rsidRPr="00CE22B8">
        <w:rPr>
          <w:rFonts w:cs="Times New Roman"/>
          <w:szCs w:val="28"/>
        </w:rPr>
        <w:t xml:space="preserve">Сидоренко С., </w:t>
      </w:r>
      <w:proofErr w:type="spellStart"/>
      <w:r w:rsidRPr="00CE22B8">
        <w:rPr>
          <w:rFonts w:cs="Times New Roman"/>
          <w:szCs w:val="28"/>
        </w:rPr>
        <w:t>Гетьманчук</w:t>
      </w:r>
      <w:proofErr w:type="spellEnd"/>
      <w:r w:rsidRPr="00CE22B8">
        <w:rPr>
          <w:rFonts w:cs="Times New Roman"/>
          <w:szCs w:val="28"/>
        </w:rPr>
        <w:t xml:space="preserve"> А. Без ПДЧ та Бухареста. </w:t>
      </w:r>
      <w:proofErr w:type="spellStart"/>
      <w:r w:rsidRPr="00CE22B8">
        <w:rPr>
          <w:rFonts w:cs="Times New Roman"/>
          <w:szCs w:val="28"/>
        </w:rPr>
        <w:t>Чому</w:t>
      </w:r>
      <w:proofErr w:type="spellEnd"/>
      <w:r w:rsidRPr="00CE22B8">
        <w:rPr>
          <w:rFonts w:cs="Times New Roman"/>
          <w:szCs w:val="28"/>
        </w:rPr>
        <w:t xml:space="preserve"> </w:t>
      </w:r>
      <w:proofErr w:type="spellStart"/>
      <w:r w:rsidRPr="00CE22B8">
        <w:rPr>
          <w:rFonts w:cs="Times New Roman"/>
          <w:szCs w:val="28"/>
        </w:rPr>
        <w:t>українські</w:t>
      </w:r>
      <w:proofErr w:type="spellEnd"/>
      <w:r w:rsidRPr="00CE22B8">
        <w:rPr>
          <w:rFonts w:cs="Times New Roman"/>
          <w:szCs w:val="28"/>
        </w:rPr>
        <w:t xml:space="preserve"> </w:t>
      </w:r>
      <w:proofErr w:type="spellStart"/>
      <w:r w:rsidRPr="00CE22B8">
        <w:rPr>
          <w:rFonts w:cs="Times New Roman"/>
          <w:szCs w:val="28"/>
        </w:rPr>
        <w:t>політики</w:t>
      </w:r>
      <w:proofErr w:type="spellEnd"/>
      <w:r w:rsidRPr="00CE22B8">
        <w:rPr>
          <w:rFonts w:cs="Times New Roman"/>
          <w:szCs w:val="28"/>
        </w:rPr>
        <w:t xml:space="preserve"> </w:t>
      </w:r>
      <w:proofErr w:type="spellStart"/>
      <w:r w:rsidRPr="00CE22B8">
        <w:rPr>
          <w:rFonts w:cs="Times New Roman"/>
          <w:szCs w:val="28"/>
        </w:rPr>
        <w:t>мають</w:t>
      </w:r>
      <w:proofErr w:type="spellEnd"/>
      <w:r w:rsidRPr="00CE22B8">
        <w:rPr>
          <w:rFonts w:cs="Times New Roman"/>
          <w:szCs w:val="28"/>
        </w:rPr>
        <w:t xml:space="preserve"> забути про </w:t>
      </w:r>
      <w:proofErr w:type="spellStart"/>
      <w:r w:rsidRPr="00CE22B8">
        <w:rPr>
          <w:rFonts w:cs="Times New Roman"/>
          <w:szCs w:val="28"/>
        </w:rPr>
        <w:t>минуле</w:t>
      </w:r>
      <w:proofErr w:type="spellEnd"/>
      <w:r w:rsidRPr="00CE22B8">
        <w:rPr>
          <w:rFonts w:cs="Times New Roman"/>
          <w:szCs w:val="28"/>
        </w:rPr>
        <w:t xml:space="preserve"> у </w:t>
      </w:r>
      <w:proofErr w:type="spellStart"/>
      <w:r w:rsidRPr="00CE22B8">
        <w:rPr>
          <w:rFonts w:cs="Times New Roman"/>
          <w:szCs w:val="28"/>
        </w:rPr>
        <w:t>питанні</w:t>
      </w:r>
      <w:proofErr w:type="spellEnd"/>
      <w:r w:rsidRPr="00CE22B8">
        <w:rPr>
          <w:rFonts w:cs="Times New Roman"/>
          <w:szCs w:val="28"/>
        </w:rPr>
        <w:t xml:space="preserve"> </w:t>
      </w:r>
      <w:proofErr w:type="spellStart"/>
      <w:r w:rsidRPr="00CE22B8">
        <w:rPr>
          <w:rFonts w:cs="Times New Roman"/>
          <w:szCs w:val="28"/>
        </w:rPr>
        <w:t>вступу</w:t>
      </w:r>
      <w:proofErr w:type="spellEnd"/>
      <w:r w:rsidRPr="00CE22B8">
        <w:rPr>
          <w:rFonts w:cs="Times New Roman"/>
          <w:szCs w:val="28"/>
        </w:rPr>
        <w:t xml:space="preserve"> до НАТО. </w:t>
      </w:r>
      <w:proofErr w:type="spellStart"/>
      <w:r w:rsidRPr="00580D96">
        <w:rPr>
          <w:rFonts w:cs="Times New Roman"/>
          <w:i/>
          <w:iCs/>
          <w:szCs w:val="28"/>
        </w:rPr>
        <w:t>Європейська</w:t>
      </w:r>
      <w:proofErr w:type="spellEnd"/>
      <w:r w:rsidRPr="00580D96">
        <w:rPr>
          <w:rFonts w:cs="Times New Roman"/>
          <w:i/>
          <w:iCs/>
          <w:szCs w:val="28"/>
        </w:rPr>
        <w:t xml:space="preserve"> правда.</w:t>
      </w:r>
      <w:r w:rsidRPr="00CE22B8">
        <w:rPr>
          <w:rFonts w:cs="Times New Roman"/>
          <w:szCs w:val="28"/>
        </w:rPr>
        <w:t xml:space="preserve"> 2023. </w:t>
      </w:r>
      <w:r w:rsidRPr="00313D00">
        <w:rPr>
          <w:rFonts w:cs="Times New Roman"/>
          <w:szCs w:val="28"/>
          <w:lang w:val="en-US"/>
        </w:rPr>
        <w:t>URL</w:t>
      </w:r>
      <w:r w:rsidRPr="00CE22B8">
        <w:rPr>
          <w:rFonts w:cs="Times New Roman"/>
          <w:szCs w:val="28"/>
        </w:rPr>
        <w:t xml:space="preserve">: </w:t>
      </w:r>
      <w:hyperlink r:id="rId19" w:history="1">
        <w:r w:rsidRPr="00313D00">
          <w:rPr>
            <w:rFonts w:cs="Times New Roman"/>
            <w:szCs w:val="28"/>
            <w:u w:val="single"/>
            <w:lang w:val="en-US"/>
          </w:rPr>
          <w:t>https</w:t>
        </w:r>
        <w:r w:rsidRPr="00CE22B8">
          <w:rPr>
            <w:rFonts w:cs="Times New Roman"/>
            <w:szCs w:val="28"/>
            <w:u w:val="single"/>
          </w:rPr>
          <w:t>://</w:t>
        </w:r>
        <w:r w:rsidRPr="00313D00">
          <w:rPr>
            <w:rFonts w:cs="Times New Roman"/>
            <w:szCs w:val="28"/>
            <w:u w:val="single"/>
            <w:lang w:val="en-US"/>
          </w:rPr>
          <w:t>www</w:t>
        </w:r>
        <w:r w:rsidRPr="00CE22B8">
          <w:rPr>
            <w:rFonts w:cs="Times New Roman"/>
            <w:szCs w:val="28"/>
            <w:u w:val="single"/>
          </w:rPr>
          <w:t>.</w:t>
        </w:r>
        <w:proofErr w:type="spellStart"/>
        <w:r w:rsidRPr="00313D00">
          <w:rPr>
            <w:rFonts w:cs="Times New Roman"/>
            <w:szCs w:val="28"/>
            <w:u w:val="single"/>
            <w:lang w:val="en-US"/>
          </w:rPr>
          <w:t>eurointegration</w:t>
        </w:r>
        <w:proofErr w:type="spellEnd"/>
        <w:r w:rsidRPr="00CE22B8">
          <w:rPr>
            <w:rFonts w:cs="Times New Roman"/>
            <w:szCs w:val="28"/>
            <w:u w:val="single"/>
          </w:rPr>
          <w:t>.</w:t>
        </w:r>
        <w:r w:rsidRPr="00313D00">
          <w:rPr>
            <w:rFonts w:cs="Times New Roman"/>
            <w:szCs w:val="28"/>
            <w:u w:val="single"/>
            <w:lang w:val="en-US"/>
          </w:rPr>
          <w:t>com</w:t>
        </w:r>
        <w:r w:rsidRPr="00CE22B8">
          <w:rPr>
            <w:rFonts w:cs="Times New Roman"/>
            <w:szCs w:val="28"/>
            <w:u w:val="single"/>
          </w:rPr>
          <w:t>.</w:t>
        </w:r>
        <w:proofErr w:type="spellStart"/>
        <w:r w:rsidRPr="00313D00">
          <w:rPr>
            <w:rFonts w:cs="Times New Roman"/>
            <w:szCs w:val="28"/>
            <w:u w:val="single"/>
            <w:lang w:val="en-US"/>
          </w:rPr>
          <w:t>ua</w:t>
        </w:r>
        <w:proofErr w:type="spellEnd"/>
        <w:r w:rsidRPr="00CE22B8">
          <w:rPr>
            <w:rFonts w:cs="Times New Roman"/>
            <w:szCs w:val="28"/>
            <w:u w:val="single"/>
          </w:rPr>
          <w:t>/</w:t>
        </w:r>
        <w:r w:rsidRPr="00313D00">
          <w:rPr>
            <w:rFonts w:cs="Times New Roman"/>
            <w:szCs w:val="28"/>
            <w:u w:val="single"/>
            <w:lang w:val="en-US"/>
          </w:rPr>
          <w:t>articles</w:t>
        </w:r>
        <w:r w:rsidRPr="00CE22B8">
          <w:rPr>
            <w:rFonts w:cs="Times New Roman"/>
            <w:szCs w:val="28"/>
            <w:u w:val="single"/>
          </w:rPr>
          <w:t>/2023/04/14/7159830/</w:t>
        </w:r>
      </w:hyperlink>
      <w:r w:rsidRPr="00CE22B8">
        <w:rPr>
          <w:rFonts w:cs="Times New Roman"/>
          <w:szCs w:val="28"/>
        </w:rPr>
        <w:t xml:space="preserve"> (дата </w:t>
      </w:r>
      <w:proofErr w:type="spellStart"/>
      <w:r w:rsidRPr="00CE22B8">
        <w:rPr>
          <w:rFonts w:cs="Times New Roman"/>
          <w:szCs w:val="28"/>
        </w:rPr>
        <w:t>звернення</w:t>
      </w:r>
      <w:proofErr w:type="spellEnd"/>
      <w:r w:rsidRPr="00CE22B8">
        <w:rPr>
          <w:rFonts w:cs="Times New Roman"/>
          <w:szCs w:val="28"/>
        </w:rPr>
        <w:t>: 14.05.2025).</w:t>
      </w:r>
    </w:p>
    <w:p w14:paraId="7294B773" w14:textId="77777777" w:rsidR="00313D00" w:rsidRPr="00313D00" w:rsidRDefault="00313D00" w:rsidP="00313D00">
      <w:pPr>
        <w:pStyle w:val="a5"/>
        <w:numPr>
          <w:ilvl w:val="0"/>
          <w:numId w:val="9"/>
        </w:numPr>
        <w:autoSpaceDE w:val="0"/>
        <w:autoSpaceDN w:val="0"/>
        <w:adjustRightInd w:val="0"/>
        <w:jc w:val="both"/>
        <w:rPr>
          <w:rFonts w:cs="Times New Roman"/>
          <w:szCs w:val="28"/>
          <w:lang w:val="en-US"/>
        </w:rPr>
      </w:pPr>
      <w:r w:rsidRPr="00CE22B8">
        <w:rPr>
          <w:rFonts w:cs="Times New Roman"/>
          <w:szCs w:val="28"/>
        </w:rPr>
        <w:t xml:space="preserve">Сидорук Т. В., Павлюк В. В. </w:t>
      </w:r>
      <w:proofErr w:type="spellStart"/>
      <w:r w:rsidRPr="00CE22B8">
        <w:rPr>
          <w:rFonts w:cs="Times New Roman"/>
          <w:szCs w:val="28"/>
        </w:rPr>
        <w:t>Розширення</w:t>
      </w:r>
      <w:proofErr w:type="spellEnd"/>
      <w:r w:rsidRPr="00CE22B8">
        <w:rPr>
          <w:rFonts w:cs="Times New Roman"/>
          <w:szCs w:val="28"/>
        </w:rPr>
        <w:t xml:space="preserve"> НАТО як </w:t>
      </w:r>
      <w:proofErr w:type="spellStart"/>
      <w:r w:rsidRPr="00CE22B8">
        <w:rPr>
          <w:rFonts w:cs="Times New Roman"/>
          <w:szCs w:val="28"/>
        </w:rPr>
        <w:t>фальшивий</w:t>
      </w:r>
      <w:proofErr w:type="spellEnd"/>
      <w:r w:rsidRPr="00CE22B8">
        <w:rPr>
          <w:rFonts w:cs="Times New Roman"/>
          <w:szCs w:val="28"/>
        </w:rPr>
        <w:t xml:space="preserve"> </w:t>
      </w:r>
      <w:proofErr w:type="spellStart"/>
      <w:r w:rsidRPr="00CE22B8">
        <w:rPr>
          <w:rFonts w:cs="Times New Roman"/>
          <w:szCs w:val="28"/>
        </w:rPr>
        <w:t>привід</w:t>
      </w:r>
      <w:proofErr w:type="spellEnd"/>
      <w:r w:rsidRPr="00CE22B8">
        <w:rPr>
          <w:rFonts w:cs="Times New Roman"/>
          <w:szCs w:val="28"/>
        </w:rPr>
        <w:t xml:space="preserve"> для </w:t>
      </w:r>
      <w:proofErr w:type="spellStart"/>
      <w:r w:rsidRPr="00CE22B8">
        <w:rPr>
          <w:rFonts w:cs="Times New Roman"/>
          <w:szCs w:val="28"/>
        </w:rPr>
        <w:t>виправдання</w:t>
      </w:r>
      <w:proofErr w:type="spellEnd"/>
      <w:r w:rsidRPr="00CE22B8">
        <w:rPr>
          <w:rFonts w:cs="Times New Roman"/>
          <w:szCs w:val="28"/>
        </w:rPr>
        <w:t xml:space="preserve"> </w:t>
      </w:r>
      <w:proofErr w:type="spellStart"/>
      <w:r w:rsidRPr="00CE22B8">
        <w:rPr>
          <w:rFonts w:cs="Times New Roman"/>
          <w:szCs w:val="28"/>
        </w:rPr>
        <w:t>війни</w:t>
      </w:r>
      <w:proofErr w:type="spellEnd"/>
      <w:r w:rsidRPr="00CE22B8">
        <w:rPr>
          <w:rFonts w:cs="Times New Roman"/>
          <w:szCs w:val="28"/>
        </w:rPr>
        <w:t xml:space="preserve"> </w:t>
      </w:r>
      <w:proofErr w:type="spellStart"/>
      <w:r w:rsidRPr="00CE22B8">
        <w:rPr>
          <w:rFonts w:cs="Times New Roman"/>
          <w:szCs w:val="28"/>
        </w:rPr>
        <w:t>росії</w:t>
      </w:r>
      <w:proofErr w:type="spellEnd"/>
      <w:r w:rsidRPr="00CE22B8">
        <w:rPr>
          <w:rFonts w:cs="Times New Roman"/>
          <w:szCs w:val="28"/>
        </w:rPr>
        <w:t xml:space="preserve"> </w:t>
      </w:r>
      <w:proofErr w:type="spellStart"/>
      <w:r w:rsidRPr="00CE22B8">
        <w:rPr>
          <w:rFonts w:cs="Times New Roman"/>
          <w:szCs w:val="28"/>
        </w:rPr>
        <w:t>проти</w:t>
      </w:r>
      <w:proofErr w:type="spellEnd"/>
      <w:r w:rsidRPr="00CE22B8">
        <w:rPr>
          <w:rFonts w:cs="Times New Roman"/>
          <w:szCs w:val="28"/>
        </w:rPr>
        <w:t xml:space="preserve"> </w:t>
      </w:r>
      <w:proofErr w:type="spellStart"/>
      <w:r w:rsidRPr="00CE22B8">
        <w:rPr>
          <w:rFonts w:cs="Times New Roman"/>
          <w:szCs w:val="28"/>
        </w:rPr>
        <w:t>України</w:t>
      </w:r>
      <w:proofErr w:type="spellEnd"/>
      <w:r w:rsidRPr="00CE22B8">
        <w:rPr>
          <w:rFonts w:cs="Times New Roman"/>
          <w:szCs w:val="28"/>
        </w:rPr>
        <w:t xml:space="preserve">. </w:t>
      </w:r>
      <w:proofErr w:type="spellStart"/>
      <w:r w:rsidRPr="00580D96">
        <w:rPr>
          <w:rFonts w:cs="Times New Roman"/>
          <w:i/>
          <w:iCs/>
          <w:szCs w:val="28"/>
          <w:lang w:val="en-US"/>
        </w:rPr>
        <w:t>Стратегічна</w:t>
      </w:r>
      <w:proofErr w:type="spellEnd"/>
      <w:r w:rsidRPr="00580D96">
        <w:rPr>
          <w:rFonts w:cs="Times New Roman"/>
          <w:i/>
          <w:iCs/>
          <w:szCs w:val="28"/>
          <w:lang w:val="en-US"/>
        </w:rPr>
        <w:t xml:space="preserve"> </w:t>
      </w:r>
      <w:proofErr w:type="spellStart"/>
      <w:r w:rsidRPr="00580D96">
        <w:rPr>
          <w:rFonts w:cs="Times New Roman"/>
          <w:i/>
          <w:iCs/>
          <w:szCs w:val="28"/>
          <w:lang w:val="en-US"/>
        </w:rPr>
        <w:t>панорама</w:t>
      </w:r>
      <w:proofErr w:type="spellEnd"/>
      <w:r w:rsidRPr="00313D00">
        <w:rPr>
          <w:rFonts w:cs="Times New Roman"/>
          <w:szCs w:val="28"/>
          <w:lang w:val="en-US"/>
        </w:rPr>
        <w:t xml:space="preserve">. 2022. </w:t>
      </w:r>
      <w:proofErr w:type="spellStart"/>
      <w:r w:rsidRPr="00313D00">
        <w:rPr>
          <w:rFonts w:cs="Times New Roman"/>
          <w:szCs w:val="28"/>
          <w:lang w:val="en-US"/>
        </w:rPr>
        <w:t>Спеціальний</w:t>
      </w:r>
      <w:proofErr w:type="spellEnd"/>
      <w:r w:rsidRPr="00313D00">
        <w:rPr>
          <w:rFonts w:cs="Times New Roman"/>
          <w:szCs w:val="28"/>
          <w:lang w:val="en-US"/>
        </w:rPr>
        <w:t xml:space="preserve"> </w:t>
      </w:r>
      <w:proofErr w:type="spellStart"/>
      <w:r w:rsidRPr="00313D00">
        <w:rPr>
          <w:rFonts w:cs="Times New Roman"/>
          <w:szCs w:val="28"/>
          <w:lang w:val="en-US"/>
        </w:rPr>
        <w:t>випуск</w:t>
      </w:r>
      <w:proofErr w:type="spellEnd"/>
      <w:r w:rsidRPr="00313D00">
        <w:rPr>
          <w:rFonts w:cs="Times New Roman"/>
          <w:szCs w:val="28"/>
          <w:lang w:val="en-US"/>
        </w:rPr>
        <w:t>. С. 35–44.</w:t>
      </w:r>
    </w:p>
    <w:p w14:paraId="4E4EA512" w14:textId="77777777" w:rsidR="00313D00" w:rsidRPr="00313D00" w:rsidRDefault="00313D00" w:rsidP="00313D00">
      <w:pPr>
        <w:pStyle w:val="a5"/>
        <w:numPr>
          <w:ilvl w:val="0"/>
          <w:numId w:val="9"/>
        </w:numPr>
        <w:autoSpaceDE w:val="0"/>
        <w:autoSpaceDN w:val="0"/>
        <w:adjustRightInd w:val="0"/>
        <w:jc w:val="both"/>
        <w:rPr>
          <w:rFonts w:cs="Times New Roman"/>
          <w:szCs w:val="28"/>
          <w:lang w:val="en-US"/>
        </w:rPr>
      </w:pPr>
      <w:r w:rsidRPr="00CE22B8">
        <w:rPr>
          <w:rFonts w:cs="Times New Roman"/>
          <w:szCs w:val="28"/>
        </w:rPr>
        <w:t xml:space="preserve">Стельмах В. О. </w:t>
      </w:r>
      <w:proofErr w:type="spellStart"/>
      <w:r w:rsidRPr="00CE22B8">
        <w:rPr>
          <w:rFonts w:cs="Times New Roman"/>
          <w:szCs w:val="28"/>
        </w:rPr>
        <w:t>Балтійська</w:t>
      </w:r>
      <w:proofErr w:type="spellEnd"/>
      <w:r w:rsidRPr="00CE22B8">
        <w:rPr>
          <w:rFonts w:cs="Times New Roman"/>
          <w:szCs w:val="28"/>
        </w:rPr>
        <w:t xml:space="preserve"> </w:t>
      </w:r>
      <w:proofErr w:type="spellStart"/>
      <w:r w:rsidRPr="00CE22B8">
        <w:rPr>
          <w:rFonts w:cs="Times New Roman"/>
          <w:szCs w:val="28"/>
        </w:rPr>
        <w:t>регіональна</w:t>
      </w:r>
      <w:proofErr w:type="spellEnd"/>
      <w:r w:rsidRPr="00CE22B8">
        <w:rPr>
          <w:rFonts w:cs="Times New Roman"/>
          <w:szCs w:val="28"/>
        </w:rPr>
        <w:t xml:space="preserve"> </w:t>
      </w:r>
      <w:proofErr w:type="spellStart"/>
      <w:r w:rsidRPr="00CE22B8">
        <w:rPr>
          <w:rFonts w:cs="Times New Roman"/>
          <w:szCs w:val="28"/>
        </w:rPr>
        <w:t>співпраця</w:t>
      </w:r>
      <w:proofErr w:type="spellEnd"/>
      <w:r w:rsidRPr="00CE22B8">
        <w:rPr>
          <w:rFonts w:cs="Times New Roman"/>
          <w:szCs w:val="28"/>
        </w:rPr>
        <w:t xml:space="preserve"> </w:t>
      </w:r>
      <w:proofErr w:type="gramStart"/>
      <w:r w:rsidRPr="00CE22B8">
        <w:rPr>
          <w:rFonts w:cs="Times New Roman"/>
          <w:szCs w:val="28"/>
        </w:rPr>
        <w:t>на шляху</w:t>
      </w:r>
      <w:proofErr w:type="gramEnd"/>
      <w:r w:rsidRPr="00CE22B8">
        <w:rPr>
          <w:rFonts w:cs="Times New Roman"/>
          <w:szCs w:val="28"/>
        </w:rPr>
        <w:t xml:space="preserve"> до </w:t>
      </w:r>
      <w:proofErr w:type="spellStart"/>
      <w:r w:rsidRPr="00CE22B8">
        <w:rPr>
          <w:rFonts w:cs="Times New Roman"/>
          <w:szCs w:val="28"/>
        </w:rPr>
        <w:t>західних</w:t>
      </w:r>
      <w:proofErr w:type="spellEnd"/>
      <w:r w:rsidRPr="00CE22B8">
        <w:rPr>
          <w:rFonts w:cs="Times New Roman"/>
          <w:szCs w:val="28"/>
        </w:rPr>
        <w:t xml:space="preserve"> </w:t>
      </w:r>
      <w:proofErr w:type="spellStart"/>
      <w:r w:rsidRPr="00CE22B8">
        <w:rPr>
          <w:rFonts w:cs="Times New Roman"/>
          <w:szCs w:val="28"/>
        </w:rPr>
        <w:t>інтеграційних</w:t>
      </w:r>
      <w:proofErr w:type="spellEnd"/>
      <w:r w:rsidRPr="00CE22B8">
        <w:rPr>
          <w:rFonts w:cs="Times New Roman"/>
          <w:szCs w:val="28"/>
        </w:rPr>
        <w:t xml:space="preserve"> структур. </w:t>
      </w:r>
      <w:proofErr w:type="spellStart"/>
      <w:r w:rsidRPr="00CE22B8">
        <w:rPr>
          <w:rFonts w:cs="Times New Roman"/>
          <w:szCs w:val="28"/>
        </w:rPr>
        <w:t>Цивілізаційні</w:t>
      </w:r>
      <w:proofErr w:type="spellEnd"/>
      <w:r w:rsidRPr="00CE22B8">
        <w:rPr>
          <w:rFonts w:cs="Times New Roman"/>
          <w:szCs w:val="28"/>
        </w:rPr>
        <w:t xml:space="preserve"> засади </w:t>
      </w:r>
      <w:proofErr w:type="spellStart"/>
      <w:r w:rsidRPr="00CE22B8">
        <w:rPr>
          <w:rFonts w:cs="Times New Roman"/>
          <w:szCs w:val="28"/>
        </w:rPr>
        <w:t>трансформаційних</w:t>
      </w:r>
      <w:proofErr w:type="spellEnd"/>
      <w:r w:rsidRPr="00CE22B8">
        <w:rPr>
          <w:rFonts w:cs="Times New Roman"/>
          <w:szCs w:val="28"/>
        </w:rPr>
        <w:t xml:space="preserve"> </w:t>
      </w:r>
      <w:proofErr w:type="spellStart"/>
      <w:r w:rsidRPr="00CE22B8">
        <w:rPr>
          <w:rFonts w:cs="Times New Roman"/>
          <w:szCs w:val="28"/>
        </w:rPr>
        <w:t>процесів</w:t>
      </w:r>
      <w:proofErr w:type="spellEnd"/>
      <w:r w:rsidRPr="00CE22B8">
        <w:rPr>
          <w:rFonts w:cs="Times New Roman"/>
          <w:szCs w:val="28"/>
        </w:rPr>
        <w:t xml:space="preserve"> на </w:t>
      </w:r>
      <w:proofErr w:type="spellStart"/>
      <w:r w:rsidRPr="00CE22B8">
        <w:rPr>
          <w:rFonts w:cs="Times New Roman"/>
          <w:szCs w:val="28"/>
        </w:rPr>
        <w:t>пострадянському</w:t>
      </w:r>
      <w:proofErr w:type="spellEnd"/>
      <w:r w:rsidRPr="00CE22B8">
        <w:rPr>
          <w:rFonts w:cs="Times New Roman"/>
          <w:szCs w:val="28"/>
        </w:rPr>
        <w:t xml:space="preserve"> </w:t>
      </w:r>
      <w:proofErr w:type="spellStart"/>
      <w:r w:rsidRPr="00CE22B8">
        <w:rPr>
          <w:rFonts w:cs="Times New Roman"/>
          <w:szCs w:val="28"/>
        </w:rPr>
        <w:t>просторі</w:t>
      </w:r>
      <w:proofErr w:type="spellEnd"/>
      <w:r w:rsidRPr="00CE22B8">
        <w:rPr>
          <w:rFonts w:cs="Times New Roman"/>
          <w:szCs w:val="28"/>
        </w:rPr>
        <w:t xml:space="preserve"> / за </w:t>
      </w:r>
      <w:proofErr w:type="spellStart"/>
      <w:r w:rsidRPr="00CE22B8">
        <w:rPr>
          <w:rFonts w:cs="Times New Roman"/>
          <w:szCs w:val="28"/>
        </w:rPr>
        <w:t>заг</w:t>
      </w:r>
      <w:proofErr w:type="spellEnd"/>
      <w:r w:rsidRPr="00CE22B8">
        <w:rPr>
          <w:rFonts w:cs="Times New Roman"/>
          <w:szCs w:val="28"/>
        </w:rPr>
        <w:t xml:space="preserve">. ред. А. Г. </w:t>
      </w:r>
      <w:proofErr w:type="spellStart"/>
      <w:r w:rsidRPr="00CE22B8">
        <w:rPr>
          <w:rFonts w:cs="Times New Roman"/>
          <w:szCs w:val="28"/>
        </w:rPr>
        <w:t>Бульвінського</w:t>
      </w:r>
      <w:proofErr w:type="spellEnd"/>
      <w:r w:rsidRPr="00CE22B8">
        <w:rPr>
          <w:rFonts w:cs="Times New Roman"/>
          <w:szCs w:val="28"/>
        </w:rPr>
        <w:t xml:space="preserve">. </w:t>
      </w:r>
      <w:proofErr w:type="spellStart"/>
      <w:proofErr w:type="gramStart"/>
      <w:r w:rsidRPr="00CE22B8">
        <w:rPr>
          <w:rFonts w:cs="Times New Roman"/>
          <w:szCs w:val="28"/>
        </w:rPr>
        <w:t>Київ</w:t>
      </w:r>
      <w:proofErr w:type="spellEnd"/>
      <w:r w:rsidRPr="00CE22B8">
        <w:rPr>
          <w:rFonts w:cs="Times New Roman"/>
          <w:szCs w:val="28"/>
        </w:rPr>
        <w:t xml:space="preserve"> :</w:t>
      </w:r>
      <w:proofErr w:type="gramEnd"/>
      <w:r w:rsidRPr="00CE22B8">
        <w:rPr>
          <w:rFonts w:cs="Times New Roman"/>
          <w:szCs w:val="28"/>
        </w:rPr>
        <w:t xml:space="preserve"> ДУ «</w:t>
      </w:r>
      <w:proofErr w:type="spellStart"/>
      <w:r w:rsidRPr="00CE22B8">
        <w:rPr>
          <w:rFonts w:cs="Times New Roman"/>
          <w:szCs w:val="28"/>
        </w:rPr>
        <w:t>Інститут</w:t>
      </w:r>
      <w:proofErr w:type="spellEnd"/>
      <w:r w:rsidRPr="00CE22B8">
        <w:rPr>
          <w:rFonts w:cs="Times New Roman"/>
          <w:szCs w:val="28"/>
        </w:rPr>
        <w:t xml:space="preserve"> </w:t>
      </w:r>
      <w:proofErr w:type="spellStart"/>
      <w:r w:rsidRPr="00CE22B8">
        <w:rPr>
          <w:rFonts w:cs="Times New Roman"/>
          <w:szCs w:val="28"/>
        </w:rPr>
        <w:t>всесвітньої</w:t>
      </w:r>
      <w:proofErr w:type="spellEnd"/>
      <w:r w:rsidRPr="00CE22B8">
        <w:rPr>
          <w:rFonts w:cs="Times New Roman"/>
          <w:szCs w:val="28"/>
        </w:rPr>
        <w:t xml:space="preserve"> </w:t>
      </w:r>
      <w:proofErr w:type="spellStart"/>
      <w:r w:rsidRPr="00CE22B8">
        <w:rPr>
          <w:rFonts w:cs="Times New Roman"/>
          <w:szCs w:val="28"/>
        </w:rPr>
        <w:t>історії</w:t>
      </w:r>
      <w:proofErr w:type="spellEnd"/>
      <w:r w:rsidRPr="00CE22B8">
        <w:rPr>
          <w:rFonts w:cs="Times New Roman"/>
          <w:szCs w:val="28"/>
        </w:rPr>
        <w:t xml:space="preserve"> НАН </w:t>
      </w:r>
      <w:proofErr w:type="spellStart"/>
      <w:r w:rsidRPr="00CE22B8">
        <w:rPr>
          <w:rFonts w:cs="Times New Roman"/>
          <w:szCs w:val="28"/>
        </w:rPr>
        <w:t>України</w:t>
      </w:r>
      <w:proofErr w:type="spellEnd"/>
      <w:r w:rsidRPr="00CE22B8">
        <w:rPr>
          <w:rFonts w:cs="Times New Roman"/>
          <w:szCs w:val="28"/>
        </w:rPr>
        <w:t xml:space="preserve">», 2018. </w:t>
      </w:r>
      <w:r w:rsidRPr="00313D00">
        <w:rPr>
          <w:rFonts w:cs="Times New Roman"/>
          <w:szCs w:val="28"/>
          <w:lang w:val="en-US"/>
        </w:rPr>
        <w:t>С. 192–205.</w:t>
      </w:r>
    </w:p>
    <w:p w14:paraId="3A1F8BC4" w14:textId="77777777" w:rsidR="00313D00" w:rsidRPr="00313D00" w:rsidRDefault="00313D00" w:rsidP="00313D00">
      <w:pPr>
        <w:pStyle w:val="a5"/>
        <w:numPr>
          <w:ilvl w:val="0"/>
          <w:numId w:val="9"/>
        </w:numPr>
        <w:autoSpaceDE w:val="0"/>
        <w:autoSpaceDN w:val="0"/>
        <w:adjustRightInd w:val="0"/>
        <w:jc w:val="both"/>
        <w:rPr>
          <w:rFonts w:cs="Times New Roman"/>
          <w:szCs w:val="28"/>
          <w:lang w:val="en-US"/>
        </w:rPr>
      </w:pPr>
      <w:proofErr w:type="spellStart"/>
      <w:r w:rsidRPr="00313D00">
        <w:rPr>
          <w:rFonts w:cs="Times New Roman"/>
          <w:szCs w:val="28"/>
          <w:lang w:val="en-US"/>
        </w:rPr>
        <w:t>Сухобокова</w:t>
      </w:r>
      <w:proofErr w:type="spellEnd"/>
      <w:r w:rsidRPr="00313D00">
        <w:rPr>
          <w:rFonts w:cs="Times New Roman"/>
          <w:szCs w:val="28"/>
          <w:lang w:val="en-US"/>
        </w:rPr>
        <w:t xml:space="preserve"> О. О. </w:t>
      </w:r>
      <w:proofErr w:type="spellStart"/>
      <w:r w:rsidRPr="00313D00">
        <w:rPr>
          <w:rFonts w:cs="Times New Roman"/>
          <w:szCs w:val="28"/>
          <w:lang w:val="en-US"/>
        </w:rPr>
        <w:t>Політична</w:t>
      </w:r>
      <w:proofErr w:type="spellEnd"/>
      <w:r w:rsidRPr="00313D00">
        <w:rPr>
          <w:rFonts w:cs="Times New Roman"/>
          <w:szCs w:val="28"/>
          <w:lang w:val="en-US"/>
        </w:rPr>
        <w:t xml:space="preserve"> </w:t>
      </w:r>
      <w:proofErr w:type="spellStart"/>
      <w:r w:rsidRPr="00313D00">
        <w:rPr>
          <w:rFonts w:cs="Times New Roman"/>
          <w:szCs w:val="28"/>
          <w:lang w:val="en-US"/>
        </w:rPr>
        <w:t>та</w:t>
      </w:r>
      <w:proofErr w:type="spellEnd"/>
      <w:r w:rsidRPr="00313D00">
        <w:rPr>
          <w:rFonts w:cs="Times New Roman"/>
          <w:szCs w:val="28"/>
          <w:lang w:val="en-US"/>
        </w:rPr>
        <w:t xml:space="preserve"> </w:t>
      </w:r>
      <w:proofErr w:type="spellStart"/>
      <w:r w:rsidRPr="00313D00">
        <w:rPr>
          <w:rFonts w:cs="Times New Roman"/>
          <w:szCs w:val="28"/>
          <w:lang w:val="en-US"/>
        </w:rPr>
        <w:t>військова</w:t>
      </w:r>
      <w:proofErr w:type="spellEnd"/>
      <w:r w:rsidRPr="00313D00">
        <w:rPr>
          <w:rFonts w:cs="Times New Roman"/>
          <w:szCs w:val="28"/>
          <w:lang w:val="en-US"/>
        </w:rPr>
        <w:t xml:space="preserve"> </w:t>
      </w:r>
      <w:proofErr w:type="spellStart"/>
      <w:r w:rsidRPr="00313D00">
        <w:rPr>
          <w:rFonts w:cs="Times New Roman"/>
          <w:szCs w:val="28"/>
          <w:lang w:val="en-US"/>
        </w:rPr>
        <w:t>допомога</w:t>
      </w:r>
      <w:proofErr w:type="spellEnd"/>
      <w:r w:rsidRPr="00313D00">
        <w:rPr>
          <w:rFonts w:cs="Times New Roman"/>
          <w:szCs w:val="28"/>
          <w:lang w:val="en-US"/>
        </w:rPr>
        <w:t xml:space="preserve"> </w:t>
      </w:r>
      <w:proofErr w:type="spellStart"/>
      <w:r w:rsidRPr="00313D00">
        <w:rPr>
          <w:rFonts w:cs="Times New Roman"/>
          <w:szCs w:val="28"/>
          <w:lang w:val="en-US"/>
        </w:rPr>
        <w:t>країн</w:t>
      </w:r>
      <w:proofErr w:type="spellEnd"/>
      <w:r w:rsidRPr="00313D00">
        <w:rPr>
          <w:rFonts w:cs="Times New Roman"/>
          <w:szCs w:val="28"/>
          <w:lang w:val="en-US"/>
        </w:rPr>
        <w:t xml:space="preserve"> </w:t>
      </w:r>
      <w:proofErr w:type="spellStart"/>
      <w:r w:rsidRPr="00313D00">
        <w:rPr>
          <w:rFonts w:cs="Times New Roman"/>
          <w:szCs w:val="28"/>
          <w:lang w:val="en-US"/>
        </w:rPr>
        <w:t>Балтії</w:t>
      </w:r>
      <w:proofErr w:type="spellEnd"/>
      <w:r w:rsidRPr="00313D00">
        <w:rPr>
          <w:rFonts w:cs="Times New Roman"/>
          <w:szCs w:val="28"/>
          <w:lang w:val="en-US"/>
        </w:rPr>
        <w:t xml:space="preserve"> у </w:t>
      </w:r>
      <w:proofErr w:type="spellStart"/>
      <w:r w:rsidRPr="00313D00">
        <w:rPr>
          <w:rFonts w:cs="Times New Roman"/>
          <w:szCs w:val="28"/>
          <w:lang w:val="en-US"/>
        </w:rPr>
        <w:t>перші</w:t>
      </w:r>
      <w:proofErr w:type="spellEnd"/>
      <w:r w:rsidRPr="00313D00">
        <w:rPr>
          <w:rFonts w:cs="Times New Roman"/>
          <w:szCs w:val="28"/>
          <w:lang w:val="en-US"/>
        </w:rPr>
        <w:t xml:space="preserve"> </w:t>
      </w:r>
      <w:proofErr w:type="spellStart"/>
      <w:r w:rsidRPr="00313D00">
        <w:rPr>
          <w:rFonts w:cs="Times New Roman"/>
          <w:szCs w:val="28"/>
          <w:lang w:val="en-US"/>
        </w:rPr>
        <w:t>місяці</w:t>
      </w:r>
      <w:proofErr w:type="spellEnd"/>
      <w:r w:rsidRPr="00313D00">
        <w:rPr>
          <w:rFonts w:cs="Times New Roman"/>
          <w:szCs w:val="28"/>
          <w:lang w:val="en-US"/>
        </w:rPr>
        <w:t xml:space="preserve"> </w:t>
      </w:r>
      <w:proofErr w:type="spellStart"/>
      <w:r w:rsidRPr="00313D00">
        <w:rPr>
          <w:rFonts w:cs="Times New Roman"/>
          <w:szCs w:val="28"/>
          <w:lang w:val="en-US"/>
        </w:rPr>
        <w:t>повномасштабної</w:t>
      </w:r>
      <w:proofErr w:type="spellEnd"/>
      <w:r w:rsidRPr="00313D00">
        <w:rPr>
          <w:rFonts w:cs="Times New Roman"/>
          <w:szCs w:val="28"/>
          <w:lang w:val="en-US"/>
        </w:rPr>
        <w:t xml:space="preserve"> </w:t>
      </w:r>
      <w:proofErr w:type="spellStart"/>
      <w:r w:rsidRPr="00313D00">
        <w:rPr>
          <w:rFonts w:cs="Times New Roman"/>
          <w:szCs w:val="28"/>
          <w:lang w:val="en-US"/>
        </w:rPr>
        <w:t>російсько-української</w:t>
      </w:r>
      <w:proofErr w:type="spellEnd"/>
      <w:r w:rsidRPr="00313D00">
        <w:rPr>
          <w:rFonts w:cs="Times New Roman"/>
          <w:szCs w:val="28"/>
          <w:lang w:val="en-US"/>
        </w:rPr>
        <w:t xml:space="preserve"> </w:t>
      </w:r>
      <w:proofErr w:type="spellStart"/>
      <w:r w:rsidRPr="00313D00">
        <w:rPr>
          <w:rFonts w:cs="Times New Roman"/>
          <w:szCs w:val="28"/>
          <w:lang w:val="en-US"/>
        </w:rPr>
        <w:t>війни</w:t>
      </w:r>
      <w:proofErr w:type="spellEnd"/>
      <w:r w:rsidRPr="00313D00">
        <w:rPr>
          <w:rFonts w:cs="Times New Roman"/>
          <w:szCs w:val="28"/>
          <w:lang w:val="en-US"/>
        </w:rPr>
        <w:t xml:space="preserve">. The Russian-Ukrainian war (2014–2022): historical, political, cultural-educational, religious, economic, and legal aspects: Scientific monograph. </w:t>
      </w:r>
      <w:proofErr w:type="gramStart"/>
      <w:r w:rsidRPr="00313D00">
        <w:rPr>
          <w:rFonts w:cs="Times New Roman"/>
          <w:szCs w:val="28"/>
          <w:lang w:val="en-US"/>
        </w:rPr>
        <w:t>Riga :</w:t>
      </w:r>
      <w:proofErr w:type="gramEnd"/>
      <w:r w:rsidRPr="00313D00">
        <w:rPr>
          <w:rFonts w:cs="Times New Roman"/>
          <w:szCs w:val="28"/>
          <w:lang w:val="en-US"/>
        </w:rPr>
        <w:t xml:space="preserve"> Baltija Publishing, 2022. Р. 661–670. URL: </w:t>
      </w:r>
      <w:hyperlink r:id="rId20" w:history="1">
        <w:r w:rsidRPr="00313D00">
          <w:rPr>
            <w:rFonts w:cs="Times New Roman"/>
            <w:szCs w:val="28"/>
            <w:u w:val="single"/>
            <w:lang w:val="en-US"/>
          </w:rPr>
          <w:t>https://doi.org/10.30525/978-9934-26-223-4-79</w:t>
        </w:r>
      </w:hyperlink>
      <w:r w:rsidRPr="00313D00">
        <w:rPr>
          <w:rFonts w:cs="Times New Roman"/>
          <w:szCs w:val="28"/>
          <w:lang w:val="en-US"/>
        </w:rPr>
        <w:t xml:space="preserve"> (</w:t>
      </w:r>
      <w:proofErr w:type="spellStart"/>
      <w:r w:rsidRPr="00313D00">
        <w:rPr>
          <w:rFonts w:cs="Times New Roman"/>
          <w:szCs w:val="28"/>
          <w:lang w:val="en-US"/>
        </w:rPr>
        <w:t>дата</w:t>
      </w:r>
      <w:proofErr w:type="spellEnd"/>
      <w:r w:rsidRPr="00313D00">
        <w:rPr>
          <w:rFonts w:cs="Times New Roman"/>
          <w:szCs w:val="28"/>
          <w:lang w:val="en-US"/>
        </w:rPr>
        <w:t xml:space="preserve"> </w:t>
      </w:r>
      <w:proofErr w:type="spellStart"/>
      <w:r w:rsidRPr="00313D00">
        <w:rPr>
          <w:rFonts w:cs="Times New Roman"/>
          <w:szCs w:val="28"/>
          <w:lang w:val="en-US"/>
        </w:rPr>
        <w:t>звернення</w:t>
      </w:r>
      <w:proofErr w:type="spellEnd"/>
      <w:r w:rsidRPr="00313D00">
        <w:rPr>
          <w:rFonts w:cs="Times New Roman"/>
          <w:szCs w:val="28"/>
          <w:lang w:val="en-US"/>
        </w:rPr>
        <w:t>: 14.05.2025).</w:t>
      </w:r>
    </w:p>
    <w:p w14:paraId="6741AB14" w14:textId="77777777" w:rsidR="00313D00" w:rsidRPr="00CE22B8" w:rsidRDefault="00313D00" w:rsidP="00313D00">
      <w:pPr>
        <w:pStyle w:val="a5"/>
        <w:numPr>
          <w:ilvl w:val="0"/>
          <w:numId w:val="9"/>
        </w:numPr>
        <w:autoSpaceDE w:val="0"/>
        <w:autoSpaceDN w:val="0"/>
        <w:adjustRightInd w:val="0"/>
        <w:jc w:val="both"/>
        <w:rPr>
          <w:rFonts w:cs="Times New Roman"/>
          <w:szCs w:val="28"/>
        </w:rPr>
      </w:pPr>
      <w:proofErr w:type="spellStart"/>
      <w:r w:rsidRPr="00CE22B8">
        <w:rPr>
          <w:rFonts w:cs="Times New Roman"/>
          <w:szCs w:val="28"/>
        </w:rPr>
        <w:t>Трансформація</w:t>
      </w:r>
      <w:proofErr w:type="spellEnd"/>
      <w:r w:rsidRPr="00CE22B8">
        <w:rPr>
          <w:rFonts w:cs="Times New Roman"/>
          <w:szCs w:val="28"/>
        </w:rPr>
        <w:t xml:space="preserve"> </w:t>
      </w:r>
      <w:proofErr w:type="spellStart"/>
      <w:r w:rsidRPr="00CE22B8">
        <w:rPr>
          <w:rFonts w:cs="Times New Roman"/>
          <w:szCs w:val="28"/>
        </w:rPr>
        <w:t>політики</w:t>
      </w:r>
      <w:proofErr w:type="spellEnd"/>
      <w:r w:rsidRPr="00CE22B8">
        <w:rPr>
          <w:rFonts w:cs="Times New Roman"/>
          <w:szCs w:val="28"/>
        </w:rPr>
        <w:t xml:space="preserve"> </w:t>
      </w:r>
      <w:proofErr w:type="spellStart"/>
      <w:r w:rsidRPr="00CE22B8">
        <w:rPr>
          <w:rFonts w:cs="Times New Roman"/>
          <w:szCs w:val="28"/>
        </w:rPr>
        <w:t>безпеки</w:t>
      </w:r>
      <w:proofErr w:type="spellEnd"/>
      <w:r w:rsidRPr="00CE22B8">
        <w:rPr>
          <w:rFonts w:cs="Times New Roman"/>
          <w:szCs w:val="28"/>
        </w:rPr>
        <w:t xml:space="preserve"> ЄС: </w:t>
      </w:r>
      <w:proofErr w:type="spellStart"/>
      <w:r w:rsidRPr="00CE22B8">
        <w:rPr>
          <w:rFonts w:cs="Times New Roman"/>
          <w:szCs w:val="28"/>
        </w:rPr>
        <w:t>збільшення</w:t>
      </w:r>
      <w:proofErr w:type="spellEnd"/>
      <w:r w:rsidRPr="00CE22B8">
        <w:rPr>
          <w:rFonts w:cs="Times New Roman"/>
          <w:szCs w:val="28"/>
        </w:rPr>
        <w:t xml:space="preserve"> </w:t>
      </w:r>
      <w:proofErr w:type="spellStart"/>
      <w:r w:rsidRPr="00CE22B8">
        <w:rPr>
          <w:rFonts w:cs="Times New Roman"/>
          <w:szCs w:val="28"/>
        </w:rPr>
        <w:t>автономії</w:t>
      </w:r>
      <w:proofErr w:type="spellEnd"/>
      <w:r w:rsidRPr="00CE22B8">
        <w:rPr>
          <w:rFonts w:cs="Times New Roman"/>
          <w:szCs w:val="28"/>
        </w:rPr>
        <w:t xml:space="preserve"> </w:t>
      </w:r>
      <w:proofErr w:type="spellStart"/>
      <w:r w:rsidRPr="00CE22B8">
        <w:rPr>
          <w:rFonts w:cs="Times New Roman"/>
          <w:szCs w:val="28"/>
        </w:rPr>
        <w:t>чи</w:t>
      </w:r>
      <w:proofErr w:type="spellEnd"/>
      <w:r w:rsidRPr="00CE22B8">
        <w:rPr>
          <w:rFonts w:cs="Times New Roman"/>
          <w:szCs w:val="28"/>
        </w:rPr>
        <w:t xml:space="preserve"> </w:t>
      </w:r>
      <w:proofErr w:type="spellStart"/>
      <w:r w:rsidRPr="00CE22B8">
        <w:rPr>
          <w:rFonts w:cs="Times New Roman"/>
          <w:szCs w:val="28"/>
        </w:rPr>
        <w:t>збереження</w:t>
      </w:r>
      <w:proofErr w:type="spellEnd"/>
      <w:r w:rsidRPr="00CE22B8">
        <w:rPr>
          <w:rFonts w:cs="Times New Roman"/>
          <w:szCs w:val="28"/>
        </w:rPr>
        <w:t xml:space="preserve"> </w:t>
      </w:r>
      <w:proofErr w:type="spellStart"/>
      <w:r w:rsidRPr="00CE22B8">
        <w:rPr>
          <w:rFonts w:cs="Times New Roman"/>
          <w:szCs w:val="28"/>
        </w:rPr>
        <w:t>пріоритету</w:t>
      </w:r>
      <w:proofErr w:type="spellEnd"/>
      <w:r w:rsidRPr="00CE22B8">
        <w:rPr>
          <w:rFonts w:cs="Times New Roman"/>
          <w:szCs w:val="28"/>
        </w:rPr>
        <w:t xml:space="preserve"> НАТО? </w:t>
      </w:r>
      <w:r w:rsidRPr="00313D00">
        <w:rPr>
          <w:rFonts w:cs="Times New Roman"/>
          <w:szCs w:val="28"/>
          <w:lang w:val="en-US"/>
        </w:rPr>
        <w:t>ADASTRA</w:t>
      </w:r>
      <w:r w:rsidRPr="00CE22B8">
        <w:rPr>
          <w:rFonts w:cs="Times New Roman"/>
          <w:szCs w:val="28"/>
        </w:rPr>
        <w:t xml:space="preserve">. 2022. </w:t>
      </w:r>
      <w:r w:rsidRPr="00313D00">
        <w:rPr>
          <w:rFonts w:cs="Times New Roman"/>
          <w:szCs w:val="28"/>
          <w:lang w:val="en-US"/>
        </w:rPr>
        <w:t>URL</w:t>
      </w:r>
      <w:r w:rsidRPr="00CE22B8">
        <w:rPr>
          <w:rFonts w:cs="Times New Roman"/>
          <w:szCs w:val="28"/>
        </w:rPr>
        <w:t xml:space="preserve">: </w:t>
      </w:r>
      <w:hyperlink r:id="rId21" w:history="1">
        <w:r w:rsidRPr="00313D00">
          <w:rPr>
            <w:rFonts w:cs="Times New Roman"/>
            <w:szCs w:val="28"/>
            <w:u w:val="single"/>
            <w:lang w:val="en-US"/>
          </w:rPr>
          <w:t>https</w:t>
        </w:r>
        <w:r w:rsidRPr="00CE22B8">
          <w:rPr>
            <w:rFonts w:cs="Times New Roman"/>
            <w:szCs w:val="28"/>
            <w:u w:val="single"/>
          </w:rPr>
          <w:t>://</w:t>
        </w:r>
        <w:proofErr w:type="spellStart"/>
        <w:r w:rsidRPr="00313D00">
          <w:rPr>
            <w:rFonts w:cs="Times New Roman"/>
            <w:szCs w:val="28"/>
            <w:u w:val="single"/>
            <w:lang w:val="en-US"/>
          </w:rPr>
          <w:t>adastra</w:t>
        </w:r>
        <w:proofErr w:type="spellEnd"/>
        <w:r w:rsidRPr="00CE22B8">
          <w:rPr>
            <w:rFonts w:cs="Times New Roman"/>
            <w:szCs w:val="28"/>
            <w:u w:val="single"/>
          </w:rPr>
          <w:t>.</w:t>
        </w:r>
        <w:r w:rsidRPr="00313D00">
          <w:rPr>
            <w:rFonts w:cs="Times New Roman"/>
            <w:szCs w:val="28"/>
            <w:u w:val="single"/>
            <w:lang w:val="en-US"/>
          </w:rPr>
          <w:t>org</w:t>
        </w:r>
        <w:r w:rsidRPr="00CE22B8">
          <w:rPr>
            <w:rFonts w:cs="Times New Roman"/>
            <w:szCs w:val="28"/>
            <w:u w:val="single"/>
          </w:rPr>
          <w:t>.</w:t>
        </w:r>
        <w:proofErr w:type="spellStart"/>
        <w:r w:rsidRPr="00313D00">
          <w:rPr>
            <w:rFonts w:cs="Times New Roman"/>
            <w:szCs w:val="28"/>
            <w:u w:val="single"/>
            <w:lang w:val="en-US"/>
          </w:rPr>
          <w:t>ua</w:t>
        </w:r>
        <w:proofErr w:type="spellEnd"/>
        <w:r w:rsidRPr="00CE22B8">
          <w:rPr>
            <w:rFonts w:cs="Times New Roman"/>
            <w:szCs w:val="28"/>
            <w:u w:val="single"/>
          </w:rPr>
          <w:t>/</w:t>
        </w:r>
        <w:r w:rsidRPr="00313D00">
          <w:rPr>
            <w:rFonts w:cs="Times New Roman"/>
            <w:szCs w:val="28"/>
            <w:u w:val="single"/>
            <w:lang w:val="en-US"/>
          </w:rPr>
          <w:t>blog</w:t>
        </w:r>
        <w:r w:rsidRPr="00CE22B8">
          <w:rPr>
            <w:rFonts w:cs="Times New Roman"/>
            <w:szCs w:val="28"/>
            <w:u w:val="single"/>
          </w:rPr>
          <w:t>/</w:t>
        </w:r>
        <w:proofErr w:type="spellStart"/>
        <w:r w:rsidRPr="00313D00">
          <w:rPr>
            <w:rFonts w:cs="Times New Roman"/>
            <w:szCs w:val="28"/>
            <w:u w:val="single"/>
            <w:lang w:val="en-US"/>
          </w:rPr>
          <w:t>transformaciya</w:t>
        </w:r>
        <w:proofErr w:type="spellEnd"/>
        <w:r w:rsidRPr="00CE22B8">
          <w:rPr>
            <w:rFonts w:cs="Times New Roman"/>
            <w:szCs w:val="28"/>
            <w:u w:val="single"/>
          </w:rPr>
          <w:t>-</w:t>
        </w:r>
        <w:proofErr w:type="spellStart"/>
        <w:r w:rsidRPr="00313D00">
          <w:rPr>
            <w:rFonts w:cs="Times New Roman"/>
            <w:szCs w:val="28"/>
            <w:u w:val="single"/>
            <w:lang w:val="en-US"/>
          </w:rPr>
          <w:t>politiki</w:t>
        </w:r>
        <w:proofErr w:type="spellEnd"/>
        <w:r w:rsidRPr="00CE22B8">
          <w:rPr>
            <w:rFonts w:cs="Times New Roman"/>
            <w:szCs w:val="28"/>
            <w:u w:val="single"/>
          </w:rPr>
          <w:t>-</w:t>
        </w:r>
        <w:proofErr w:type="spellStart"/>
        <w:r w:rsidRPr="00313D00">
          <w:rPr>
            <w:rFonts w:cs="Times New Roman"/>
            <w:szCs w:val="28"/>
            <w:u w:val="single"/>
            <w:lang w:val="en-US"/>
          </w:rPr>
          <w:t>bezpeki</w:t>
        </w:r>
        <w:proofErr w:type="spellEnd"/>
        <w:r w:rsidRPr="00CE22B8">
          <w:rPr>
            <w:rFonts w:cs="Times New Roman"/>
            <w:szCs w:val="28"/>
            <w:u w:val="single"/>
          </w:rPr>
          <w:t>-</w:t>
        </w:r>
        <w:r w:rsidRPr="00313D00">
          <w:rPr>
            <w:rFonts w:cs="Times New Roman"/>
            <w:szCs w:val="28"/>
            <w:u w:val="single"/>
            <w:lang w:val="en-US"/>
          </w:rPr>
          <w:t>yes</w:t>
        </w:r>
        <w:r w:rsidRPr="00CE22B8">
          <w:rPr>
            <w:rFonts w:cs="Times New Roman"/>
            <w:szCs w:val="28"/>
            <w:u w:val="single"/>
          </w:rPr>
          <w:t>-</w:t>
        </w:r>
        <w:proofErr w:type="spellStart"/>
        <w:r w:rsidRPr="00313D00">
          <w:rPr>
            <w:rFonts w:cs="Times New Roman"/>
            <w:szCs w:val="28"/>
            <w:u w:val="single"/>
            <w:lang w:val="en-US"/>
          </w:rPr>
          <w:t>zbilshennya</w:t>
        </w:r>
        <w:proofErr w:type="spellEnd"/>
        <w:r w:rsidRPr="00CE22B8">
          <w:rPr>
            <w:rFonts w:cs="Times New Roman"/>
            <w:szCs w:val="28"/>
            <w:u w:val="single"/>
          </w:rPr>
          <w:t>-</w:t>
        </w:r>
        <w:proofErr w:type="spellStart"/>
        <w:r w:rsidRPr="00313D00">
          <w:rPr>
            <w:rFonts w:cs="Times New Roman"/>
            <w:szCs w:val="28"/>
            <w:u w:val="single"/>
            <w:lang w:val="en-US"/>
          </w:rPr>
          <w:t>avtonomiyi</w:t>
        </w:r>
        <w:proofErr w:type="spellEnd"/>
        <w:r w:rsidRPr="00CE22B8">
          <w:rPr>
            <w:rFonts w:cs="Times New Roman"/>
            <w:szCs w:val="28"/>
            <w:u w:val="single"/>
          </w:rPr>
          <w:t>-</w:t>
        </w:r>
        <w:r w:rsidRPr="00313D00">
          <w:rPr>
            <w:rFonts w:cs="Times New Roman"/>
            <w:szCs w:val="28"/>
            <w:u w:val="single"/>
            <w:lang w:val="en-US"/>
          </w:rPr>
          <w:t>chi</w:t>
        </w:r>
        <w:r w:rsidRPr="00CE22B8">
          <w:rPr>
            <w:rFonts w:cs="Times New Roman"/>
            <w:szCs w:val="28"/>
            <w:u w:val="single"/>
          </w:rPr>
          <w:t>-</w:t>
        </w:r>
        <w:proofErr w:type="spellStart"/>
        <w:r w:rsidRPr="00313D00">
          <w:rPr>
            <w:rFonts w:cs="Times New Roman"/>
            <w:szCs w:val="28"/>
            <w:u w:val="single"/>
            <w:lang w:val="en-US"/>
          </w:rPr>
          <w:t>zberezhennya</w:t>
        </w:r>
        <w:proofErr w:type="spellEnd"/>
        <w:r w:rsidRPr="00CE22B8">
          <w:rPr>
            <w:rFonts w:cs="Times New Roman"/>
            <w:szCs w:val="28"/>
            <w:u w:val="single"/>
          </w:rPr>
          <w:t>-</w:t>
        </w:r>
        <w:proofErr w:type="spellStart"/>
        <w:r w:rsidRPr="00313D00">
          <w:rPr>
            <w:rFonts w:cs="Times New Roman"/>
            <w:szCs w:val="28"/>
            <w:u w:val="single"/>
            <w:lang w:val="en-US"/>
          </w:rPr>
          <w:t>prioritetu</w:t>
        </w:r>
        <w:proofErr w:type="spellEnd"/>
        <w:r w:rsidRPr="00CE22B8">
          <w:rPr>
            <w:rFonts w:cs="Times New Roman"/>
            <w:szCs w:val="28"/>
            <w:u w:val="single"/>
          </w:rPr>
          <w:t>-</w:t>
        </w:r>
        <w:proofErr w:type="spellStart"/>
        <w:r w:rsidRPr="00313D00">
          <w:rPr>
            <w:rFonts w:cs="Times New Roman"/>
            <w:szCs w:val="28"/>
            <w:u w:val="single"/>
            <w:lang w:val="en-US"/>
          </w:rPr>
          <w:t>nato</w:t>
        </w:r>
        <w:proofErr w:type="spellEnd"/>
      </w:hyperlink>
      <w:r w:rsidRPr="00CE22B8">
        <w:rPr>
          <w:rFonts w:cs="Times New Roman"/>
          <w:szCs w:val="28"/>
        </w:rPr>
        <w:t xml:space="preserve"> (дата </w:t>
      </w:r>
      <w:proofErr w:type="spellStart"/>
      <w:r w:rsidRPr="00CE22B8">
        <w:rPr>
          <w:rFonts w:cs="Times New Roman"/>
          <w:szCs w:val="28"/>
        </w:rPr>
        <w:t>звернення</w:t>
      </w:r>
      <w:proofErr w:type="spellEnd"/>
      <w:r w:rsidRPr="00CE22B8">
        <w:rPr>
          <w:rFonts w:cs="Times New Roman"/>
          <w:szCs w:val="28"/>
        </w:rPr>
        <w:t>: 14.05.2025).</w:t>
      </w:r>
    </w:p>
    <w:p w14:paraId="5D4D060A" w14:textId="77777777" w:rsidR="00313D00" w:rsidRPr="00313D00" w:rsidRDefault="00313D00" w:rsidP="00313D00">
      <w:pPr>
        <w:pStyle w:val="a5"/>
        <w:numPr>
          <w:ilvl w:val="0"/>
          <w:numId w:val="9"/>
        </w:numPr>
        <w:autoSpaceDE w:val="0"/>
        <w:autoSpaceDN w:val="0"/>
        <w:adjustRightInd w:val="0"/>
        <w:jc w:val="both"/>
        <w:rPr>
          <w:rFonts w:cs="Times New Roman"/>
          <w:szCs w:val="28"/>
          <w:lang w:val="en-US"/>
        </w:rPr>
      </w:pPr>
      <w:proofErr w:type="spellStart"/>
      <w:r w:rsidRPr="00CE22B8">
        <w:rPr>
          <w:rFonts w:cs="Times New Roman"/>
          <w:szCs w:val="28"/>
        </w:rPr>
        <w:t>Туряниця</w:t>
      </w:r>
      <w:proofErr w:type="spellEnd"/>
      <w:r w:rsidRPr="00CE22B8">
        <w:rPr>
          <w:rFonts w:cs="Times New Roman"/>
          <w:szCs w:val="28"/>
        </w:rPr>
        <w:t xml:space="preserve"> І. </w:t>
      </w:r>
      <w:proofErr w:type="spellStart"/>
      <w:r w:rsidRPr="00CE22B8">
        <w:rPr>
          <w:rFonts w:cs="Times New Roman"/>
          <w:szCs w:val="28"/>
        </w:rPr>
        <w:t>Пріоритети</w:t>
      </w:r>
      <w:proofErr w:type="spellEnd"/>
      <w:r w:rsidRPr="00CE22B8">
        <w:rPr>
          <w:rFonts w:cs="Times New Roman"/>
          <w:szCs w:val="28"/>
        </w:rPr>
        <w:t xml:space="preserve"> </w:t>
      </w:r>
      <w:proofErr w:type="spellStart"/>
      <w:r w:rsidRPr="00CE22B8">
        <w:rPr>
          <w:rFonts w:cs="Times New Roman"/>
          <w:szCs w:val="28"/>
        </w:rPr>
        <w:t>оборонної</w:t>
      </w:r>
      <w:proofErr w:type="spellEnd"/>
      <w:r w:rsidRPr="00CE22B8">
        <w:rPr>
          <w:rFonts w:cs="Times New Roman"/>
          <w:szCs w:val="28"/>
        </w:rPr>
        <w:t xml:space="preserve"> </w:t>
      </w:r>
      <w:proofErr w:type="spellStart"/>
      <w:r w:rsidRPr="00CE22B8">
        <w:rPr>
          <w:rFonts w:cs="Times New Roman"/>
          <w:szCs w:val="28"/>
        </w:rPr>
        <w:t>політики</w:t>
      </w:r>
      <w:proofErr w:type="spellEnd"/>
      <w:r w:rsidRPr="00CE22B8">
        <w:rPr>
          <w:rFonts w:cs="Times New Roman"/>
          <w:szCs w:val="28"/>
        </w:rPr>
        <w:t xml:space="preserve"> та </w:t>
      </w:r>
      <w:proofErr w:type="spellStart"/>
      <w:r w:rsidRPr="00CE22B8">
        <w:rPr>
          <w:rFonts w:cs="Times New Roman"/>
          <w:szCs w:val="28"/>
        </w:rPr>
        <w:t>національної</w:t>
      </w:r>
      <w:proofErr w:type="spellEnd"/>
      <w:r w:rsidRPr="00CE22B8">
        <w:rPr>
          <w:rFonts w:cs="Times New Roman"/>
          <w:szCs w:val="28"/>
        </w:rPr>
        <w:t xml:space="preserve"> </w:t>
      </w:r>
      <w:proofErr w:type="spellStart"/>
      <w:r w:rsidRPr="00CE22B8">
        <w:rPr>
          <w:rFonts w:cs="Times New Roman"/>
          <w:szCs w:val="28"/>
        </w:rPr>
        <w:t>безпеки</w:t>
      </w:r>
      <w:proofErr w:type="spellEnd"/>
      <w:r w:rsidRPr="00CE22B8">
        <w:rPr>
          <w:rFonts w:cs="Times New Roman"/>
          <w:szCs w:val="28"/>
        </w:rPr>
        <w:t xml:space="preserve"> </w:t>
      </w:r>
      <w:proofErr w:type="spellStart"/>
      <w:r w:rsidRPr="00CE22B8">
        <w:rPr>
          <w:rFonts w:cs="Times New Roman"/>
          <w:szCs w:val="28"/>
        </w:rPr>
        <w:t>Литовської</w:t>
      </w:r>
      <w:proofErr w:type="spellEnd"/>
      <w:r w:rsidRPr="00CE22B8">
        <w:rPr>
          <w:rFonts w:cs="Times New Roman"/>
          <w:szCs w:val="28"/>
        </w:rPr>
        <w:t xml:space="preserve"> </w:t>
      </w:r>
      <w:proofErr w:type="spellStart"/>
      <w:r w:rsidRPr="00CE22B8">
        <w:rPr>
          <w:rFonts w:cs="Times New Roman"/>
          <w:szCs w:val="28"/>
        </w:rPr>
        <w:t>Республіки</w:t>
      </w:r>
      <w:proofErr w:type="spellEnd"/>
      <w:r w:rsidRPr="00CE22B8">
        <w:rPr>
          <w:rFonts w:cs="Times New Roman"/>
          <w:szCs w:val="28"/>
        </w:rPr>
        <w:t xml:space="preserve"> на </w:t>
      </w:r>
      <w:proofErr w:type="spellStart"/>
      <w:r w:rsidRPr="00CE22B8">
        <w:rPr>
          <w:rFonts w:cs="Times New Roman"/>
          <w:szCs w:val="28"/>
        </w:rPr>
        <w:t>сучасному</w:t>
      </w:r>
      <w:proofErr w:type="spellEnd"/>
      <w:r w:rsidRPr="00CE22B8">
        <w:rPr>
          <w:rFonts w:cs="Times New Roman"/>
          <w:szCs w:val="28"/>
        </w:rPr>
        <w:t xml:space="preserve"> </w:t>
      </w:r>
      <w:proofErr w:type="spellStart"/>
      <w:r w:rsidRPr="00CE22B8">
        <w:rPr>
          <w:rFonts w:cs="Times New Roman"/>
          <w:szCs w:val="28"/>
        </w:rPr>
        <w:t>етапі</w:t>
      </w:r>
      <w:proofErr w:type="spellEnd"/>
      <w:r w:rsidRPr="00CE22B8">
        <w:rPr>
          <w:rFonts w:cs="Times New Roman"/>
          <w:szCs w:val="28"/>
        </w:rPr>
        <w:t xml:space="preserve">. </w:t>
      </w:r>
      <w:proofErr w:type="spellStart"/>
      <w:r w:rsidRPr="00580D96">
        <w:rPr>
          <w:rFonts w:cs="Times New Roman"/>
          <w:i/>
          <w:iCs/>
          <w:szCs w:val="28"/>
          <w:lang w:val="en-US"/>
        </w:rPr>
        <w:t>Наукові</w:t>
      </w:r>
      <w:proofErr w:type="spellEnd"/>
      <w:r w:rsidRPr="00580D96">
        <w:rPr>
          <w:rFonts w:cs="Times New Roman"/>
          <w:i/>
          <w:iCs/>
          <w:szCs w:val="28"/>
          <w:lang w:val="en-US"/>
        </w:rPr>
        <w:t xml:space="preserve"> </w:t>
      </w:r>
      <w:proofErr w:type="spellStart"/>
      <w:r w:rsidRPr="00580D96">
        <w:rPr>
          <w:rFonts w:cs="Times New Roman"/>
          <w:i/>
          <w:iCs/>
          <w:szCs w:val="28"/>
          <w:lang w:val="en-US"/>
        </w:rPr>
        <w:t>зошити</w:t>
      </w:r>
      <w:proofErr w:type="spellEnd"/>
      <w:r w:rsidRPr="00580D96">
        <w:rPr>
          <w:rFonts w:cs="Times New Roman"/>
          <w:i/>
          <w:iCs/>
          <w:szCs w:val="28"/>
          <w:lang w:val="en-US"/>
        </w:rPr>
        <w:t xml:space="preserve"> </w:t>
      </w:r>
      <w:proofErr w:type="spellStart"/>
      <w:r w:rsidRPr="00580D96">
        <w:rPr>
          <w:rFonts w:cs="Times New Roman"/>
          <w:i/>
          <w:iCs/>
          <w:szCs w:val="28"/>
          <w:lang w:val="en-US"/>
        </w:rPr>
        <w:t>історичного</w:t>
      </w:r>
      <w:proofErr w:type="spellEnd"/>
      <w:r w:rsidRPr="00580D96">
        <w:rPr>
          <w:rFonts w:cs="Times New Roman"/>
          <w:i/>
          <w:iCs/>
          <w:szCs w:val="28"/>
          <w:lang w:val="en-US"/>
        </w:rPr>
        <w:t xml:space="preserve"> </w:t>
      </w:r>
      <w:proofErr w:type="spellStart"/>
      <w:r w:rsidRPr="00580D96">
        <w:rPr>
          <w:rFonts w:cs="Times New Roman"/>
          <w:i/>
          <w:iCs/>
          <w:szCs w:val="28"/>
          <w:lang w:val="en-US"/>
        </w:rPr>
        <w:t>факультету</w:t>
      </w:r>
      <w:proofErr w:type="spellEnd"/>
      <w:r w:rsidRPr="00580D96">
        <w:rPr>
          <w:rFonts w:cs="Times New Roman"/>
          <w:i/>
          <w:iCs/>
          <w:szCs w:val="28"/>
          <w:lang w:val="en-US"/>
        </w:rPr>
        <w:t xml:space="preserve"> </w:t>
      </w:r>
      <w:proofErr w:type="spellStart"/>
      <w:r w:rsidRPr="00580D96">
        <w:rPr>
          <w:rFonts w:cs="Times New Roman"/>
          <w:i/>
          <w:iCs/>
          <w:szCs w:val="28"/>
          <w:lang w:val="en-US"/>
        </w:rPr>
        <w:t>Львівського</w:t>
      </w:r>
      <w:proofErr w:type="spellEnd"/>
      <w:r w:rsidRPr="00580D96">
        <w:rPr>
          <w:rFonts w:cs="Times New Roman"/>
          <w:i/>
          <w:iCs/>
          <w:szCs w:val="28"/>
          <w:lang w:val="en-US"/>
        </w:rPr>
        <w:t xml:space="preserve"> </w:t>
      </w:r>
      <w:proofErr w:type="spellStart"/>
      <w:r w:rsidRPr="00580D96">
        <w:rPr>
          <w:rFonts w:cs="Times New Roman"/>
          <w:i/>
          <w:iCs/>
          <w:szCs w:val="28"/>
          <w:lang w:val="en-US"/>
        </w:rPr>
        <w:t>університету</w:t>
      </w:r>
      <w:proofErr w:type="spellEnd"/>
      <w:r w:rsidRPr="00580D96">
        <w:rPr>
          <w:rFonts w:cs="Times New Roman"/>
          <w:i/>
          <w:iCs/>
          <w:szCs w:val="28"/>
          <w:lang w:val="en-US"/>
        </w:rPr>
        <w:t xml:space="preserve">. </w:t>
      </w:r>
      <w:r w:rsidRPr="00313D00">
        <w:rPr>
          <w:rFonts w:cs="Times New Roman"/>
          <w:szCs w:val="28"/>
          <w:lang w:val="en-US"/>
        </w:rPr>
        <w:t>2017. № 18. C. 323–333.</w:t>
      </w:r>
    </w:p>
    <w:p w14:paraId="2C541FD1" w14:textId="0779AB7D" w:rsidR="00313D00" w:rsidRPr="00CE22B8" w:rsidRDefault="00313D00" w:rsidP="00313D00">
      <w:pPr>
        <w:pStyle w:val="a5"/>
        <w:numPr>
          <w:ilvl w:val="0"/>
          <w:numId w:val="9"/>
        </w:numPr>
        <w:autoSpaceDE w:val="0"/>
        <w:autoSpaceDN w:val="0"/>
        <w:adjustRightInd w:val="0"/>
        <w:jc w:val="both"/>
        <w:rPr>
          <w:rFonts w:cs="Times New Roman"/>
          <w:szCs w:val="28"/>
        </w:rPr>
      </w:pPr>
      <w:proofErr w:type="spellStart"/>
      <w:r w:rsidRPr="00CE22B8">
        <w:rPr>
          <w:rFonts w:cs="Times New Roman"/>
          <w:szCs w:val="28"/>
        </w:rPr>
        <w:lastRenderedPageBreak/>
        <w:t>Щорічний</w:t>
      </w:r>
      <w:proofErr w:type="spellEnd"/>
      <w:r w:rsidRPr="00CE22B8">
        <w:rPr>
          <w:rFonts w:cs="Times New Roman"/>
          <w:szCs w:val="28"/>
        </w:rPr>
        <w:t xml:space="preserve"> </w:t>
      </w:r>
      <w:proofErr w:type="spellStart"/>
      <w:r w:rsidRPr="00CE22B8">
        <w:rPr>
          <w:rFonts w:cs="Times New Roman"/>
          <w:szCs w:val="28"/>
        </w:rPr>
        <w:t>звіт</w:t>
      </w:r>
      <w:proofErr w:type="spellEnd"/>
      <w:r w:rsidRPr="00CE22B8">
        <w:rPr>
          <w:rFonts w:cs="Times New Roman"/>
          <w:szCs w:val="28"/>
        </w:rPr>
        <w:t xml:space="preserve"> Генерального секретаря за 2022 </w:t>
      </w:r>
      <w:proofErr w:type="spellStart"/>
      <w:r w:rsidRPr="00CE22B8">
        <w:rPr>
          <w:rFonts w:cs="Times New Roman"/>
          <w:szCs w:val="28"/>
        </w:rPr>
        <w:t>рік</w:t>
      </w:r>
      <w:proofErr w:type="spellEnd"/>
      <w:r w:rsidRPr="00CE22B8">
        <w:rPr>
          <w:rFonts w:cs="Times New Roman"/>
          <w:szCs w:val="28"/>
        </w:rPr>
        <w:t xml:space="preserve">. Сайт </w:t>
      </w:r>
      <w:proofErr w:type="spellStart"/>
      <w:r w:rsidRPr="00CE22B8">
        <w:rPr>
          <w:rFonts w:cs="Times New Roman"/>
          <w:szCs w:val="28"/>
        </w:rPr>
        <w:t>Організації</w:t>
      </w:r>
      <w:proofErr w:type="spellEnd"/>
      <w:r w:rsidRPr="00CE22B8">
        <w:rPr>
          <w:rFonts w:cs="Times New Roman"/>
          <w:szCs w:val="28"/>
        </w:rPr>
        <w:t xml:space="preserve"> </w:t>
      </w:r>
      <w:proofErr w:type="spellStart"/>
      <w:r w:rsidRPr="00CE22B8">
        <w:rPr>
          <w:rFonts w:cs="Times New Roman"/>
          <w:szCs w:val="28"/>
        </w:rPr>
        <w:t>Північноатлантичного</w:t>
      </w:r>
      <w:proofErr w:type="spellEnd"/>
      <w:r w:rsidRPr="00CE22B8">
        <w:rPr>
          <w:rFonts w:cs="Times New Roman"/>
          <w:szCs w:val="28"/>
        </w:rPr>
        <w:t xml:space="preserve"> договору. 2023. </w:t>
      </w:r>
      <w:r w:rsidRPr="00313D00">
        <w:rPr>
          <w:rFonts w:cs="Times New Roman"/>
          <w:szCs w:val="28"/>
          <w:lang w:val="en-US"/>
        </w:rPr>
        <w:t>URL</w:t>
      </w:r>
      <w:r w:rsidRPr="00CE22B8">
        <w:rPr>
          <w:rFonts w:cs="Times New Roman"/>
          <w:szCs w:val="28"/>
        </w:rPr>
        <w:t xml:space="preserve">: </w:t>
      </w:r>
      <w:hyperlink r:id="rId22" w:history="1">
        <w:r w:rsidRPr="00313D00">
          <w:rPr>
            <w:rFonts w:cs="Times New Roman"/>
            <w:szCs w:val="28"/>
            <w:u w:val="single"/>
            <w:lang w:val="en-US"/>
          </w:rPr>
          <w:t>https</w:t>
        </w:r>
        <w:r w:rsidRPr="00CE22B8">
          <w:rPr>
            <w:rFonts w:cs="Times New Roman"/>
            <w:szCs w:val="28"/>
            <w:u w:val="single"/>
          </w:rPr>
          <w:t>://</w:t>
        </w:r>
        <w:r w:rsidRPr="00313D00">
          <w:rPr>
            <w:rFonts w:cs="Times New Roman"/>
            <w:szCs w:val="28"/>
            <w:u w:val="single"/>
            <w:lang w:val="en-US"/>
          </w:rPr>
          <w:t>www</w:t>
        </w:r>
        <w:r w:rsidRPr="00CE22B8">
          <w:rPr>
            <w:rFonts w:cs="Times New Roman"/>
            <w:szCs w:val="28"/>
            <w:u w:val="single"/>
          </w:rPr>
          <w:t>.</w:t>
        </w:r>
        <w:proofErr w:type="spellStart"/>
        <w:r w:rsidRPr="00313D00">
          <w:rPr>
            <w:rFonts w:cs="Times New Roman"/>
            <w:szCs w:val="28"/>
            <w:u w:val="single"/>
            <w:lang w:val="en-US"/>
          </w:rPr>
          <w:t>nato</w:t>
        </w:r>
        <w:proofErr w:type="spellEnd"/>
        <w:r w:rsidRPr="00CE22B8">
          <w:rPr>
            <w:rFonts w:cs="Times New Roman"/>
            <w:szCs w:val="28"/>
            <w:u w:val="single"/>
          </w:rPr>
          <w:t>.</w:t>
        </w:r>
        <w:r w:rsidRPr="00313D00">
          <w:rPr>
            <w:rFonts w:cs="Times New Roman"/>
            <w:szCs w:val="28"/>
            <w:u w:val="single"/>
            <w:lang w:val="en-US"/>
          </w:rPr>
          <w:t>int</w:t>
        </w:r>
        <w:r w:rsidRPr="00CE22B8">
          <w:rPr>
            <w:rFonts w:cs="Times New Roman"/>
            <w:szCs w:val="28"/>
            <w:u w:val="single"/>
          </w:rPr>
          <w:t>/</w:t>
        </w:r>
        <w:r w:rsidRPr="00313D00">
          <w:rPr>
            <w:rFonts w:cs="Times New Roman"/>
            <w:szCs w:val="28"/>
            <w:u w:val="single"/>
            <w:lang w:val="en-US"/>
          </w:rPr>
          <w:t>cps</w:t>
        </w:r>
        <w:r w:rsidRPr="00CE22B8">
          <w:rPr>
            <w:rFonts w:cs="Times New Roman"/>
            <w:szCs w:val="28"/>
            <w:u w:val="single"/>
          </w:rPr>
          <w:t>/</w:t>
        </w:r>
        <w:proofErr w:type="spellStart"/>
        <w:r w:rsidRPr="00313D00">
          <w:rPr>
            <w:rFonts w:cs="Times New Roman"/>
            <w:szCs w:val="28"/>
            <w:u w:val="single"/>
            <w:lang w:val="en-US"/>
          </w:rPr>
          <w:t>uk</w:t>
        </w:r>
        <w:proofErr w:type="spellEnd"/>
        <w:r w:rsidRPr="00CE22B8">
          <w:rPr>
            <w:rFonts w:cs="Times New Roman"/>
            <w:szCs w:val="28"/>
            <w:u w:val="single"/>
          </w:rPr>
          <w:t>/</w:t>
        </w:r>
        <w:proofErr w:type="spellStart"/>
        <w:r w:rsidRPr="00313D00">
          <w:rPr>
            <w:rFonts w:cs="Times New Roman"/>
            <w:szCs w:val="28"/>
            <w:u w:val="single"/>
            <w:lang w:val="en-US"/>
          </w:rPr>
          <w:t>natohq</w:t>
        </w:r>
        <w:proofErr w:type="spellEnd"/>
        <w:r w:rsidRPr="00CE22B8">
          <w:rPr>
            <w:rFonts w:cs="Times New Roman"/>
            <w:szCs w:val="28"/>
            <w:u w:val="single"/>
          </w:rPr>
          <w:t>/</w:t>
        </w:r>
        <w:r w:rsidRPr="00313D00">
          <w:rPr>
            <w:rFonts w:cs="Times New Roman"/>
            <w:szCs w:val="28"/>
            <w:u w:val="single"/>
            <w:lang w:val="en-US"/>
          </w:rPr>
          <w:t>opinions</w:t>
        </w:r>
        <w:r w:rsidRPr="00CE22B8">
          <w:rPr>
            <w:rFonts w:cs="Times New Roman"/>
            <w:szCs w:val="28"/>
            <w:u w:val="single"/>
          </w:rPr>
          <w:t>_212795.</w:t>
        </w:r>
        <w:r w:rsidRPr="00313D00">
          <w:rPr>
            <w:rFonts w:cs="Times New Roman"/>
            <w:szCs w:val="28"/>
            <w:u w:val="single"/>
            <w:lang w:val="en-US"/>
          </w:rPr>
          <w:t>htm</w:t>
        </w:r>
      </w:hyperlink>
      <w:r w:rsidRPr="00CE22B8">
        <w:rPr>
          <w:rFonts w:cs="Times New Roman"/>
          <w:szCs w:val="28"/>
        </w:rPr>
        <w:t xml:space="preserve"> (дата </w:t>
      </w:r>
      <w:proofErr w:type="spellStart"/>
      <w:r w:rsidRPr="00CE22B8">
        <w:rPr>
          <w:rFonts w:cs="Times New Roman"/>
          <w:szCs w:val="28"/>
        </w:rPr>
        <w:t>звернення</w:t>
      </w:r>
      <w:proofErr w:type="spellEnd"/>
      <w:r w:rsidRPr="00CE22B8">
        <w:rPr>
          <w:rFonts w:cs="Times New Roman"/>
          <w:szCs w:val="28"/>
        </w:rPr>
        <w:t>: 14.05.2025)</w:t>
      </w:r>
    </w:p>
    <w:p w14:paraId="49BE807D" w14:textId="0FFA2E61" w:rsidR="00313D00" w:rsidRPr="00313D00" w:rsidRDefault="00313D00" w:rsidP="00313D00">
      <w:pPr>
        <w:pStyle w:val="a5"/>
        <w:numPr>
          <w:ilvl w:val="0"/>
          <w:numId w:val="9"/>
        </w:numPr>
        <w:autoSpaceDE w:val="0"/>
        <w:autoSpaceDN w:val="0"/>
        <w:adjustRightInd w:val="0"/>
        <w:jc w:val="both"/>
        <w:rPr>
          <w:rFonts w:cs="Times New Roman"/>
          <w:szCs w:val="28"/>
          <w:lang w:val="en-US"/>
        </w:rPr>
      </w:pPr>
      <w:r w:rsidRPr="00313D00">
        <w:rPr>
          <w:rFonts w:cs="Times New Roman"/>
          <w:szCs w:val="28"/>
          <w:lang w:val="en-US"/>
        </w:rPr>
        <w:t xml:space="preserve">NATO 2022 Strategic Concept. North Atlantic Treaty Organization. 2022. URL: </w:t>
      </w:r>
      <w:hyperlink r:id="rId23" w:history="1">
        <w:r w:rsidRPr="00313D00">
          <w:rPr>
            <w:rFonts w:cs="Times New Roman"/>
            <w:szCs w:val="28"/>
            <w:u w:val="single"/>
            <w:lang w:val="en-US"/>
          </w:rPr>
          <w:t>https://www.nato.int/strategic-concept/</w:t>
        </w:r>
      </w:hyperlink>
      <w:r w:rsidRPr="00313D00">
        <w:rPr>
          <w:rFonts w:cs="Times New Roman"/>
          <w:szCs w:val="28"/>
          <w:lang w:val="en-US"/>
        </w:rPr>
        <w:t xml:space="preserve"> (</w:t>
      </w:r>
      <w:proofErr w:type="spellStart"/>
      <w:r w:rsidRPr="00313D00">
        <w:rPr>
          <w:rFonts w:cs="Times New Roman"/>
          <w:szCs w:val="28"/>
          <w:lang w:val="en-US"/>
        </w:rPr>
        <w:t>дата</w:t>
      </w:r>
      <w:proofErr w:type="spellEnd"/>
      <w:r w:rsidRPr="00313D00">
        <w:rPr>
          <w:rFonts w:cs="Times New Roman"/>
          <w:szCs w:val="28"/>
          <w:lang w:val="en-US"/>
        </w:rPr>
        <w:t xml:space="preserve"> </w:t>
      </w:r>
      <w:proofErr w:type="spellStart"/>
      <w:r w:rsidRPr="00313D00">
        <w:rPr>
          <w:rFonts w:cs="Times New Roman"/>
          <w:szCs w:val="28"/>
          <w:lang w:val="en-US"/>
        </w:rPr>
        <w:t>звернення</w:t>
      </w:r>
      <w:proofErr w:type="spellEnd"/>
      <w:r w:rsidRPr="00313D00">
        <w:rPr>
          <w:rFonts w:cs="Times New Roman"/>
          <w:szCs w:val="28"/>
          <w:lang w:val="en-US"/>
        </w:rPr>
        <w:t>: 14.05.2025).</w:t>
      </w:r>
    </w:p>
    <w:p w14:paraId="69DB1FCF" w14:textId="77777777" w:rsidR="00313D00" w:rsidRPr="00313D00" w:rsidRDefault="00313D00" w:rsidP="00313D00">
      <w:pPr>
        <w:pStyle w:val="a5"/>
        <w:numPr>
          <w:ilvl w:val="0"/>
          <w:numId w:val="9"/>
        </w:numPr>
        <w:autoSpaceDE w:val="0"/>
        <w:autoSpaceDN w:val="0"/>
        <w:adjustRightInd w:val="0"/>
        <w:jc w:val="both"/>
        <w:rPr>
          <w:rFonts w:cs="Times New Roman"/>
          <w:szCs w:val="28"/>
          <w:lang w:val="en-US"/>
        </w:rPr>
      </w:pPr>
      <w:r w:rsidRPr="00313D00">
        <w:rPr>
          <w:rFonts w:cs="Times New Roman"/>
          <w:szCs w:val="28"/>
          <w:lang w:val="en-US"/>
        </w:rPr>
        <w:t xml:space="preserve">A Strategic Compass: The European Union expands its toolbox. Wilson Center. 2022. URL: </w:t>
      </w:r>
      <w:hyperlink r:id="rId24" w:history="1">
        <w:r w:rsidRPr="00313D00">
          <w:rPr>
            <w:rFonts w:cs="Times New Roman"/>
            <w:szCs w:val="28"/>
            <w:u w:val="single"/>
            <w:lang w:val="en-US"/>
          </w:rPr>
          <w:t>https://www.wilsoncenter.org/article/strategic-compass-european-union-expands-its-toolbox</w:t>
        </w:r>
      </w:hyperlink>
      <w:r w:rsidRPr="00313D00">
        <w:rPr>
          <w:rFonts w:cs="Times New Roman"/>
          <w:szCs w:val="28"/>
          <w:lang w:val="en-US"/>
        </w:rPr>
        <w:t xml:space="preserve"> (</w:t>
      </w:r>
      <w:proofErr w:type="spellStart"/>
      <w:r w:rsidRPr="00313D00">
        <w:rPr>
          <w:rFonts w:cs="Times New Roman"/>
          <w:szCs w:val="28"/>
          <w:lang w:val="en-US"/>
        </w:rPr>
        <w:t>дата</w:t>
      </w:r>
      <w:proofErr w:type="spellEnd"/>
      <w:r w:rsidRPr="00313D00">
        <w:rPr>
          <w:rFonts w:cs="Times New Roman"/>
          <w:szCs w:val="28"/>
          <w:lang w:val="en-US"/>
        </w:rPr>
        <w:t xml:space="preserve"> </w:t>
      </w:r>
      <w:proofErr w:type="spellStart"/>
      <w:r w:rsidRPr="00313D00">
        <w:rPr>
          <w:rFonts w:cs="Times New Roman"/>
          <w:szCs w:val="28"/>
          <w:lang w:val="en-US"/>
        </w:rPr>
        <w:t>звернення</w:t>
      </w:r>
      <w:proofErr w:type="spellEnd"/>
      <w:r w:rsidRPr="00313D00">
        <w:rPr>
          <w:rFonts w:cs="Times New Roman"/>
          <w:szCs w:val="28"/>
          <w:lang w:val="en-US"/>
        </w:rPr>
        <w:t>: 14.05.2025).</w:t>
      </w:r>
    </w:p>
    <w:p w14:paraId="16604196" w14:textId="77777777" w:rsidR="00313D00" w:rsidRPr="00313D00" w:rsidRDefault="00313D00" w:rsidP="00313D00">
      <w:pPr>
        <w:pStyle w:val="a5"/>
        <w:numPr>
          <w:ilvl w:val="0"/>
          <w:numId w:val="9"/>
        </w:numPr>
        <w:autoSpaceDE w:val="0"/>
        <w:autoSpaceDN w:val="0"/>
        <w:adjustRightInd w:val="0"/>
        <w:jc w:val="both"/>
        <w:rPr>
          <w:rFonts w:cs="Times New Roman"/>
          <w:szCs w:val="28"/>
          <w:lang w:val="en-US"/>
        </w:rPr>
      </w:pPr>
      <w:r w:rsidRPr="00313D00">
        <w:rPr>
          <w:rFonts w:cs="Times New Roman"/>
          <w:szCs w:val="28"/>
          <w:lang w:val="en-US"/>
        </w:rPr>
        <w:t xml:space="preserve">Biscop S. The EU's Strategic Compass: How to Translate It into Capabilities? </w:t>
      </w:r>
      <w:proofErr w:type="spellStart"/>
      <w:r w:rsidRPr="00313D00">
        <w:rPr>
          <w:rFonts w:cs="Times New Roman"/>
          <w:szCs w:val="28"/>
          <w:lang w:val="en-US"/>
        </w:rPr>
        <w:t>IEMed</w:t>
      </w:r>
      <w:proofErr w:type="spellEnd"/>
      <w:r w:rsidRPr="00313D00">
        <w:rPr>
          <w:rFonts w:cs="Times New Roman"/>
          <w:szCs w:val="28"/>
          <w:lang w:val="en-US"/>
        </w:rPr>
        <w:t xml:space="preserve"> Mediterranean Yearbook. 2022. URL: </w:t>
      </w:r>
      <w:hyperlink r:id="rId25" w:history="1">
        <w:r w:rsidRPr="00313D00">
          <w:rPr>
            <w:rFonts w:cs="Times New Roman"/>
            <w:szCs w:val="28"/>
            <w:u w:val="single"/>
            <w:lang w:val="en-US"/>
          </w:rPr>
          <w:t>https://www.iemed.org/publication/the-eus-strategic-compass-how-to-translate-it-into-capabilities/</w:t>
        </w:r>
      </w:hyperlink>
      <w:r w:rsidRPr="00313D00">
        <w:rPr>
          <w:rFonts w:cs="Times New Roman"/>
          <w:szCs w:val="28"/>
          <w:lang w:val="en-US"/>
        </w:rPr>
        <w:t xml:space="preserve"> (</w:t>
      </w:r>
      <w:proofErr w:type="spellStart"/>
      <w:r w:rsidRPr="00313D00">
        <w:rPr>
          <w:rFonts w:cs="Times New Roman"/>
          <w:szCs w:val="28"/>
          <w:lang w:val="en-US"/>
        </w:rPr>
        <w:t>дата</w:t>
      </w:r>
      <w:proofErr w:type="spellEnd"/>
      <w:r w:rsidRPr="00313D00">
        <w:rPr>
          <w:rFonts w:cs="Times New Roman"/>
          <w:szCs w:val="28"/>
          <w:lang w:val="en-US"/>
        </w:rPr>
        <w:t xml:space="preserve"> </w:t>
      </w:r>
      <w:proofErr w:type="spellStart"/>
      <w:r w:rsidRPr="00313D00">
        <w:rPr>
          <w:rFonts w:cs="Times New Roman"/>
          <w:szCs w:val="28"/>
          <w:lang w:val="en-US"/>
        </w:rPr>
        <w:t>звернення</w:t>
      </w:r>
      <w:proofErr w:type="spellEnd"/>
      <w:r w:rsidRPr="00313D00">
        <w:rPr>
          <w:rFonts w:cs="Times New Roman"/>
          <w:szCs w:val="28"/>
          <w:lang w:val="en-US"/>
        </w:rPr>
        <w:t>: 14.05.2025).</w:t>
      </w:r>
    </w:p>
    <w:p w14:paraId="05C0D4DD" w14:textId="77777777" w:rsidR="00313D00" w:rsidRPr="00CE22B8" w:rsidRDefault="00313D00" w:rsidP="00313D00">
      <w:pPr>
        <w:pStyle w:val="a5"/>
        <w:numPr>
          <w:ilvl w:val="0"/>
          <w:numId w:val="9"/>
        </w:numPr>
        <w:autoSpaceDE w:val="0"/>
        <w:autoSpaceDN w:val="0"/>
        <w:adjustRightInd w:val="0"/>
        <w:jc w:val="both"/>
        <w:rPr>
          <w:rFonts w:cs="Times New Roman"/>
          <w:szCs w:val="28"/>
        </w:rPr>
      </w:pPr>
      <w:r w:rsidRPr="00313D00">
        <w:rPr>
          <w:rFonts w:cs="Times New Roman"/>
          <w:szCs w:val="28"/>
          <w:lang w:val="en-US"/>
        </w:rPr>
        <w:t xml:space="preserve">Borges de Castro R., Barbosa Lobo R. A Compass and a concept: a guide to the EU and NATO strategic outlooks. </w:t>
      </w:r>
      <w:r w:rsidRPr="00CE22B8">
        <w:rPr>
          <w:rFonts w:cs="Times New Roman"/>
          <w:szCs w:val="28"/>
        </w:rPr>
        <w:t xml:space="preserve">2022. </w:t>
      </w:r>
      <w:r w:rsidRPr="00313D00">
        <w:rPr>
          <w:rFonts w:cs="Times New Roman"/>
          <w:szCs w:val="28"/>
          <w:lang w:val="en-US"/>
        </w:rPr>
        <w:t>URL</w:t>
      </w:r>
      <w:r w:rsidRPr="00CE22B8">
        <w:rPr>
          <w:rFonts w:cs="Times New Roman"/>
          <w:szCs w:val="28"/>
        </w:rPr>
        <w:t xml:space="preserve">: </w:t>
      </w:r>
      <w:hyperlink r:id="rId26" w:history="1">
        <w:r w:rsidRPr="00313D00">
          <w:rPr>
            <w:rFonts w:cs="Times New Roman"/>
            <w:szCs w:val="28"/>
            <w:u w:val="single"/>
            <w:lang w:val="en-US"/>
          </w:rPr>
          <w:t>http</w:t>
        </w:r>
        <w:r w:rsidRPr="00CE22B8">
          <w:rPr>
            <w:rFonts w:cs="Times New Roman"/>
            <w:szCs w:val="28"/>
            <w:u w:val="single"/>
          </w:rPr>
          <w:t>://</w:t>
        </w:r>
        <w:proofErr w:type="spellStart"/>
        <w:r w:rsidRPr="00313D00">
          <w:rPr>
            <w:rFonts w:cs="Times New Roman"/>
            <w:szCs w:val="28"/>
            <w:u w:val="single"/>
            <w:lang w:val="en-US"/>
          </w:rPr>
          <w:t>turkishpolicy</w:t>
        </w:r>
        <w:proofErr w:type="spellEnd"/>
        <w:r w:rsidRPr="00CE22B8">
          <w:rPr>
            <w:rFonts w:cs="Times New Roman"/>
            <w:szCs w:val="28"/>
            <w:u w:val="single"/>
          </w:rPr>
          <w:t>.</w:t>
        </w:r>
        <w:r w:rsidRPr="00313D00">
          <w:rPr>
            <w:rFonts w:cs="Times New Roman"/>
            <w:szCs w:val="28"/>
            <w:u w:val="single"/>
            <w:lang w:val="en-US"/>
          </w:rPr>
          <w:t>com</w:t>
        </w:r>
        <w:r w:rsidRPr="00CE22B8">
          <w:rPr>
            <w:rFonts w:cs="Times New Roman"/>
            <w:szCs w:val="28"/>
            <w:u w:val="single"/>
          </w:rPr>
          <w:t>/</w:t>
        </w:r>
        <w:r w:rsidRPr="00313D00">
          <w:rPr>
            <w:rFonts w:cs="Times New Roman"/>
            <w:szCs w:val="28"/>
            <w:u w:val="single"/>
            <w:lang w:val="en-US"/>
          </w:rPr>
          <w:t>article</w:t>
        </w:r>
        <w:r w:rsidRPr="00CE22B8">
          <w:rPr>
            <w:rFonts w:cs="Times New Roman"/>
            <w:szCs w:val="28"/>
            <w:u w:val="single"/>
          </w:rPr>
          <w:t>/1149/</w:t>
        </w:r>
        <w:r w:rsidRPr="00313D00">
          <w:rPr>
            <w:rFonts w:cs="Times New Roman"/>
            <w:szCs w:val="28"/>
            <w:u w:val="single"/>
            <w:lang w:val="en-US"/>
          </w:rPr>
          <w:t>a</w:t>
        </w:r>
        <w:r w:rsidRPr="00CE22B8">
          <w:rPr>
            <w:rFonts w:cs="Times New Roman"/>
            <w:szCs w:val="28"/>
            <w:u w:val="single"/>
          </w:rPr>
          <w:t>-</w:t>
        </w:r>
        <w:r w:rsidRPr="00313D00">
          <w:rPr>
            <w:rFonts w:cs="Times New Roman"/>
            <w:szCs w:val="28"/>
            <w:u w:val="single"/>
            <w:lang w:val="en-US"/>
          </w:rPr>
          <w:t>compass</w:t>
        </w:r>
        <w:r w:rsidRPr="00CE22B8">
          <w:rPr>
            <w:rFonts w:cs="Times New Roman"/>
            <w:szCs w:val="28"/>
            <w:u w:val="single"/>
          </w:rPr>
          <w:t>-</w:t>
        </w:r>
        <w:r w:rsidRPr="00313D00">
          <w:rPr>
            <w:rFonts w:cs="Times New Roman"/>
            <w:szCs w:val="28"/>
            <w:u w:val="single"/>
            <w:lang w:val="en-US"/>
          </w:rPr>
          <w:t>and</w:t>
        </w:r>
        <w:r w:rsidRPr="00CE22B8">
          <w:rPr>
            <w:rFonts w:cs="Times New Roman"/>
            <w:szCs w:val="28"/>
            <w:u w:val="single"/>
          </w:rPr>
          <w:t>-</w:t>
        </w:r>
        <w:r w:rsidRPr="00313D00">
          <w:rPr>
            <w:rFonts w:cs="Times New Roman"/>
            <w:szCs w:val="28"/>
            <w:u w:val="single"/>
            <w:lang w:val="en-US"/>
          </w:rPr>
          <w:t>a</w:t>
        </w:r>
        <w:r w:rsidRPr="00CE22B8">
          <w:rPr>
            <w:rFonts w:cs="Times New Roman"/>
            <w:szCs w:val="28"/>
            <w:u w:val="single"/>
          </w:rPr>
          <w:t>-</w:t>
        </w:r>
        <w:r w:rsidRPr="00313D00">
          <w:rPr>
            <w:rFonts w:cs="Times New Roman"/>
            <w:szCs w:val="28"/>
            <w:u w:val="single"/>
            <w:lang w:val="en-US"/>
          </w:rPr>
          <w:t>concept</w:t>
        </w:r>
        <w:r w:rsidRPr="00CE22B8">
          <w:rPr>
            <w:rFonts w:cs="Times New Roman"/>
            <w:szCs w:val="28"/>
            <w:u w:val="single"/>
          </w:rPr>
          <w:t>-</w:t>
        </w:r>
        <w:r w:rsidRPr="00313D00">
          <w:rPr>
            <w:rFonts w:cs="Times New Roman"/>
            <w:szCs w:val="28"/>
            <w:u w:val="single"/>
            <w:lang w:val="en-US"/>
          </w:rPr>
          <w:t>a</w:t>
        </w:r>
        <w:r w:rsidRPr="00CE22B8">
          <w:rPr>
            <w:rFonts w:cs="Times New Roman"/>
            <w:szCs w:val="28"/>
            <w:u w:val="single"/>
          </w:rPr>
          <w:t>-</w:t>
        </w:r>
        <w:r w:rsidRPr="00313D00">
          <w:rPr>
            <w:rFonts w:cs="Times New Roman"/>
            <w:szCs w:val="28"/>
            <w:u w:val="single"/>
            <w:lang w:val="en-US"/>
          </w:rPr>
          <w:t>guide</w:t>
        </w:r>
        <w:r w:rsidRPr="00CE22B8">
          <w:rPr>
            <w:rFonts w:cs="Times New Roman"/>
            <w:szCs w:val="28"/>
            <w:u w:val="single"/>
          </w:rPr>
          <w:t>-</w:t>
        </w:r>
        <w:r w:rsidRPr="00313D00">
          <w:rPr>
            <w:rFonts w:cs="Times New Roman"/>
            <w:szCs w:val="28"/>
            <w:u w:val="single"/>
            <w:lang w:val="en-US"/>
          </w:rPr>
          <w:t>to</w:t>
        </w:r>
        <w:r w:rsidRPr="00CE22B8">
          <w:rPr>
            <w:rFonts w:cs="Times New Roman"/>
            <w:szCs w:val="28"/>
            <w:u w:val="single"/>
          </w:rPr>
          <w:t>-</w:t>
        </w:r>
        <w:r w:rsidRPr="00313D00">
          <w:rPr>
            <w:rFonts w:cs="Times New Roman"/>
            <w:szCs w:val="28"/>
            <w:u w:val="single"/>
            <w:lang w:val="en-US"/>
          </w:rPr>
          <w:t>the</w:t>
        </w:r>
        <w:r w:rsidRPr="00CE22B8">
          <w:rPr>
            <w:rFonts w:cs="Times New Roman"/>
            <w:szCs w:val="28"/>
            <w:u w:val="single"/>
          </w:rPr>
          <w:t>-</w:t>
        </w:r>
        <w:proofErr w:type="spellStart"/>
        <w:r w:rsidRPr="00313D00">
          <w:rPr>
            <w:rFonts w:cs="Times New Roman"/>
            <w:szCs w:val="28"/>
            <w:u w:val="single"/>
            <w:lang w:val="en-US"/>
          </w:rPr>
          <w:t>eu</w:t>
        </w:r>
        <w:proofErr w:type="spellEnd"/>
        <w:r w:rsidRPr="00CE22B8">
          <w:rPr>
            <w:rFonts w:cs="Times New Roman"/>
            <w:szCs w:val="28"/>
            <w:u w:val="single"/>
          </w:rPr>
          <w:t>-</w:t>
        </w:r>
        <w:r w:rsidRPr="00313D00">
          <w:rPr>
            <w:rFonts w:cs="Times New Roman"/>
            <w:szCs w:val="28"/>
            <w:u w:val="single"/>
            <w:lang w:val="en-US"/>
          </w:rPr>
          <w:t>and</w:t>
        </w:r>
        <w:r w:rsidRPr="00CE22B8">
          <w:rPr>
            <w:rFonts w:cs="Times New Roman"/>
            <w:szCs w:val="28"/>
            <w:u w:val="single"/>
          </w:rPr>
          <w:t>-</w:t>
        </w:r>
        <w:proofErr w:type="spellStart"/>
        <w:r w:rsidRPr="00313D00">
          <w:rPr>
            <w:rFonts w:cs="Times New Roman"/>
            <w:szCs w:val="28"/>
            <w:u w:val="single"/>
            <w:lang w:val="en-US"/>
          </w:rPr>
          <w:t>nato</w:t>
        </w:r>
        <w:proofErr w:type="spellEnd"/>
        <w:r w:rsidRPr="00CE22B8">
          <w:rPr>
            <w:rFonts w:cs="Times New Roman"/>
            <w:szCs w:val="28"/>
            <w:u w:val="single"/>
          </w:rPr>
          <w:t>-</w:t>
        </w:r>
        <w:r w:rsidRPr="00313D00">
          <w:rPr>
            <w:rFonts w:cs="Times New Roman"/>
            <w:szCs w:val="28"/>
            <w:u w:val="single"/>
            <w:lang w:val="en-US"/>
          </w:rPr>
          <w:t>strategic</w:t>
        </w:r>
        <w:r w:rsidRPr="00CE22B8">
          <w:rPr>
            <w:rFonts w:cs="Times New Roman"/>
            <w:szCs w:val="28"/>
            <w:u w:val="single"/>
          </w:rPr>
          <w:t>-</w:t>
        </w:r>
        <w:r w:rsidRPr="00313D00">
          <w:rPr>
            <w:rFonts w:cs="Times New Roman"/>
            <w:szCs w:val="28"/>
            <w:u w:val="single"/>
            <w:lang w:val="en-US"/>
          </w:rPr>
          <w:t>outlooks</w:t>
        </w:r>
      </w:hyperlink>
      <w:r w:rsidRPr="00CE22B8">
        <w:rPr>
          <w:rFonts w:cs="Times New Roman"/>
          <w:szCs w:val="28"/>
        </w:rPr>
        <w:t xml:space="preserve"> (дата </w:t>
      </w:r>
      <w:proofErr w:type="spellStart"/>
      <w:r w:rsidRPr="00CE22B8">
        <w:rPr>
          <w:rFonts w:cs="Times New Roman"/>
          <w:szCs w:val="28"/>
        </w:rPr>
        <w:t>звернення</w:t>
      </w:r>
      <w:proofErr w:type="spellEnd"/>
      <w:r w:rsidRPr="00CE22B8">
        <w:rPr>
          <w:rFonts w:cs="Times New Roman"/>
          <w:szCs w:val="28"/>
        </w:rPr>
        <w:t>: 14.05.2025).</w:t>
      </w:r>
    </w:p>
    <w:p w14:paraId="51B2CCB2" w14:textId="77777777" w:rsidR="00313D00" w:rsidRPr="00313D00" w:rsidRDefault="00313D00" w:rsidP="00313D00">
      <w:pPr>
        <w:pStyle w:val="a5"/>
        <w:numPr>
          <w:ilvl w:val="0"/>
          <w:numId w:val="9"/>
        </w:numPr>
        <w:autoSpaceDE w:val="0"/>
        <w:autoSpaceDN w:val="0"/>
        <w:adjustRightInd w:val="0"/>
        <w:jc w:val="both"/>
        <w:rPr>
          <w:rFonts w:cs="Times New Roman"/>
          <w:szCs w:val="28"/>
          <w:lang w:val="en-US"/>
        </w:rPr>
      </w:pPr>
      <w:r w:rsidRPr="00313D00">
        <w:rPr>
          <w:rFonts w:cs="Times New Roman"/>
          <w:szCs w:val="28"/>
          <w:lang w:val="en-US"/>
        </w:rPr>
        <w:t xml:space="preserve">Challenges of the common security and </w:t>
      </w:r>
      <w:proofErr w:type="spellStart"/>
      <w:r w:rsidRPr="00313D00">
        <w:rPr>
          <w:rFonts w:cs="Times New Roman"/>
          <w:szCs w:val="28"/>
          <w:lang w:val="en-US"/>
        </w:rPr>
        <w:t>defence</w:t>
      </w:r>
      <w:proofErr w:type="spellEnd"/>
      <w:r w:rsidRPr="00313D00">
        <w:rPr>
          <w:rFonts w:cs="Times New Roman"/>
          <w:szCs w:val="28"/>
          <w:lang w:val="en-US"/>
        </w:rPr>
        <w:t xml:space="preserve"> policy. European Security and </w:t>
      </w:r>
      <w:proofErr w:type="spellStart"/>
      <w:r w:rsidRPr="00313D00">
        <w:rPr>
          <w:rFonts w:cs="Times New Roman"/>
          <w:szCs w:val="28"/>
          <w:lang w:val="en-US"/>
        </w:rPr>
        <w:t>Defence</w:t>
      </w:r>
      <w:proofErr w:type="spellEnd"/>
      <w:r w:rsidRPr="00313D00">
        <w:rPr>
          <w:rFonts w:cs="Times New Roman"/>
          <w:szCs w:val="28"/>
          <w:lang w:val="en-US"/>
        </w:rPr>
        <w:t xml:space="preserve"> College. 2nd summer university book. 2022. URL: </w:t>
      </w:r>
      <w:hyperlink r:id="rId27" w:history="1">
        <w:r w:rsidRPr="00313D00">
          <w:rPr>
            <w:rFonts w:cs="Times New Roman"/>
            <w:szCs w:val="28"/>
            <w:u w:val="single"/>
            <w:lang w:val="en-US"/>
          </w:rPr>
          <w:t>https://op.europa.eu/en/publication-detail/-/publication/e3706908-db0f-11ec-a95f-01aa75ed71a1/language-en</w:t>
        </w:r>
      </w:hyperlink>
      <w:r w:rsidRPr="00313D00">
        <w:rPr>
          <w:rFonts w:cs="Times New Roman"/>
          <w:szCs w:val="28"/>
          <w:lang w:val="en-US"/>
        </w:rPr>
        <w:t xml:space="preserve"> (</w:t>
      </w:r>
      <w:proofErr w:type="spellStart"/>
      <w:r w:rsidRPr="00313D00">
        <w:rPr>
          <w:rFonts w:cs="Times New Roman"/>
          <w:szCs w:val="28"/>
          <w:lang w:val="en-US"/>
        </w:rPr>
        <w:t>дата</w:t>
      </w:r>
      <w:proofErr w:type="spellEnd"/>
      <w:r w:rsidRPr="00313D00">
        <w:rPr>
          <w:rFonts w:cs="Times New Roman"/>
          <w:szCs w:val="28"/>
          <w:lang w:val="en-US"/>
        </w:rPr>
        <w:t xml:space="preserve"> </w:t>
      </w:r>
      <w:proofErr w:type="spellStart"/>
      <w:r w:rsidRPr="00313D00">
        <w:rPr>
          <w:rFonts w:cs="Times New Roman"/>
          <w:szCs w:val="28"/>
          <w:lang w:val="en-US"/>
        </w:rPr>
        <w:t>звернення</w:t>
      </w:r>
      <w:proofErr w:type="spellEnd"/>
      <w:r w:rsidRPr="00313D00">
        <w:rPr>
          <w:rFonts w:cs="Times New Roman"/>
          <w:szCs w:val="28"/>
          <w:lang w:val="en-US"/>
        </w:rPr>
        <w:t>: 14.05.2025).</w:t>
      </w:r>
    </w:p>
    <w:p w14:paraId="53639B29" w14:textId="77777777" w:rsidR="00313D00" w:rsidRPr="00313D00" w:rsidRDefault="00313D00" w:rsidP="00313D00">
      <w:pPr>
        <w:pStyle w:val="a5"/>
        <w:numPr>
          <w:ilvl w:val="0"/>
          <w:numId w:val="9"/>
        </w:numPr>
        <w:autoSpaceDE w:val="0"/>
        <w:autoSpaceDN w:val="0"/>
        <w:adjustRightInd w:val="0"/>
        <w:jc w:val="both"/>
        <w:rPr>
          <w:rFonts w:cs="Times New Roman"/>
          <w:szCs w:val="28"/>
          <w:lang w:val="en-US"/>
        </w:rPr>
      </w:pPr>
      <w:proofErr w:type="spellStart"/>
      <w:r w:rsidRPr="00313D00">
        <w:rPr>
          <w:rFonts w:cs="Times New Roman"/>
          <w:szCs w:val="28"/>
          <w:lang w:val="en-US"/>
        </w:rPr>
        <w:t>Erciyas</w:t>
      </w:r>
      <w:proofErr w:type="spellEnd"/>
      <w:r w:rsidRPr="00313D00">
        <w:rPr>
          <w:rFonts w:cs="Times New Roman"/>
          <w:szCs w:val="28"/>
          <w:lang w:val="en-US"/>
        </w:rPr>
        <w:t xml:space="preserve"> A., </w:t>
      </w:r>
      <w:proofErr w:type="spellStart"/>
      <w:r w:rsidRPr="00313D00">
        <w:rPr>
          <w:rFonts w:cs="Times New Roman"/>
          <w:szCs w:val="28"/>
          <w:lang w:val="en-US"/>
        </w:rPr>
        <w:t>Soydemir</w:t>
      </w:r>
      <w:proofErr w:type="spellEnd"/>
      <w:r w:rsidRPr="00313D00">
        <w:rPr>
          <w:rFonts w:cs="Times New Roman"/>
          <w:szCs w:val="28"/>
          <w:lang w:val="en-US"/>
        </w:rPr>
        <w:t xml:space="preserve"> A. Transformation of the EU Common Security and </w:t>
      </w:r>
      <w:proofErr w:type="spellStart"/>
      <w:r w:rsidRPr="00313D00">
        <w:rPr>
          <w:rFonts w:cs="Times New Roman"/>
          <w:szCs w:val="28"/>
          <w:lang w:val="en-US"/>
        </w:rPr>
        <w:t>Defence</w:t>
      </w:r>
      <w:proofErr w:type="spellEnd"/>
      <w:r w:rsidRPr="00313D00">
        <w:rPr>
          <w:rFonts w:cs="Times New Roman"/>
          <w:szCs w:val="28"/>
          <w:lang w:val="en-US"/>
        </w:rPr>
        <w:t xml:space="preserve"> Policy after 2014 Regarding Ukraine Crisis. </w:t>
      </w:r>
      <w:proofErr w:type="spellStart"/>
      <w:r w:rsidRPr="00313D00">
        <w:rPr>
          <w:rFonts w:cs="Times New Roman"/>
          <w:szCs w:val="28"/>
          <w:lang w:val="en-US"/>
        </w:rPr>
        <w:t>Güvenlik</w:t>
      </w:r>
      <w:proofErr w:type="spellEnd"/>
      <w:r w:rsidRPr="00313D00">
        <w:rPr>
          <w:rFonts w:cs="Times New Roman"/>
          <w:szCs w:val="28"/>
          <w:lang w:val="en-US"/>
        </w:rPr>
        <w:t xml:space="preserve"> </w:t>
      </w:r>
      <w:proofErr w:type="spellStart"/>
      <w:r w:rsidRPr="00313D00">
        <w:rPr>
          <w:rFonts w:cs="Times New Roman"/>
          <w:szCs w:val="28"/>
          <w:lang w:val="en-US"/>
        </w:rPr>
        <w:t>Stratejileri</w:t>
      </w:r>
      <w:proofErr w:type="spellEnd"/>
      <w:r w:rsidRPr="00313D00">
        <w:rPr>
          <w:rFonts w:cs="Times New Roman"/>
          <w:szCs w:val="28"/>
          <w:lang w:val="en-US"/>
        </w:rPr>
        <w:t xml:space="preserve"> </w:t>
      </w:r>
      <w:proofErr w:type="spellStart"/>
      <w:r w:rsidRPr="00313D00">
        <w:rPr>
          <w:rFonts w:cs="Times New Roman"/>
          <w:szCs w:val="28"/>
          <w:lang w:val="en-US"/>
        </w:rPr>
        <w:t>Dergisi</w:t>
      </w:r>
      <w:proofErr w:type="spellEnd"/>
      <w:r w:rsidRPr="00313D00">
        <w:rPr>
          <w:rFonts w:cs="Times New Roman"/>
          <w:szCs w:val="28"/>
          <w:lang w:val="en-US"/>
        </w:rPr>
        <w:t>. 2022. № 18(41). С. 1-30.</w:t>
      </w:r>
    </w:p>
    <w:p w14:paraId="2F444D36" w14:textId="77777777" w:rsidR="00313D00" w:rsidRPr="00CE22B8" w:rsidRDefault="00313D00" w:rsidP="00313D00">
      <w:pPr>
        <w:pStyle w:val="a5"/>
        <w:numPr>
          <w:ilvl w:val="0"/>
          <w:numId w:val="9"/>
        </w:numPr>
        <w:autoSpaceDE w:val="0"/>
        <w:autoSpaceDN w:val="0"/>
        <w:adjustRightInd w:val="0"/>
        <w:jc w:val="both"/>
        <w:rPr>
          <w:rFonts w:cs="Times New Roman"/>
          <w:szCs w:val="28"/>
        </w:rPr>
      </w:pPr>
      <w:r w:rsidRPr="00313D00">
        <w:rPr>
          <w:rFonts w:cs="Times New Roman"/>
          <w:szCs w:val="28"/>
          <w:lang w:val="en-US"/>
        </w:rPr>
        <w:t xml:space="preserve">European Security and </w:t>
      </w:r>
      <w:proofErr w:type="spellStart"/>
      <w:r w:rsidRPr="00313D00">
        <w:rPr>
          <w:rFonts w:cs="Times New Roman"/>
          <w:szCs w:val="28"/>
          <w:lang w:val="en-US"/>
        </w:rPr>
        <w:t>Defence</w:t>
      </w:r>
      <w:proofErr w:type="spellEnd"/>
      <w:r w:rsidRPr="00313D00">
        <w:rPr>
          <w:rFonts w:cs="Times New Roman"/>
          <w:szCs w:val="28"/>
          <w:lang w:val="en-US"/>
        </w:rPr>
        <w:t xml:space="preserve"> College. Challenges of the common security and </w:t>
      </w:r>
      <w:proofErr w:type="spellStart"/>
      <w:r w:rsidRPr="00313D00">
        <w:rPr>
          <w:rFonts w:cs="Times New Roman"/>
          <w:szCs w:val="28"/>
          <w:lang w:val="en-US"/>
        </w:rPr>
        <w:t>defence</w:t>
      </w:r>
      <w:proofErr w:type="spellEnd"/>
      <w:r w:rsidRPr="00313D00">
        <w:rPr>
          <w:rFonts w:cs="Times New Roman"/>
          <w:szCs w:val="28"/>
          <w:lang w:val="en-US"/>
        </w:rPr>
        <w:t xml:space="preserve"> policy. </w:t>
      </w:r>
      <w:r w:rsidRPr="00CE22B8">
        <w:rPr>
          <w:rFonts w:cs="Times New Roman"/>
          <w:szCs w:val="28"/>
        </w:rPr>
        <w:t xml:space="preserve">2022. </w:t>
      </w:r>
      <w:r w:rsidRPr="00313D00">
        <w:rPr>
          <w:rFonts w:cs="Times New Roman"/>
          <w:szCs w:val="28"/>
          <w:lang w:val="en-US"/>
        </w:rPr>
        <w:t>URL</w:t>
      </w:r>
      <w:r w:rsidRPr="00CE22B8">
        <w:rPr>
          <w:rFonts w:cs="Times New Roman"/>
          <w:szCs w:val="28"/>
        </w:rPr>
        <w:t xml:space="preserve">: </w:t>
      </w:r>
      <w:hyperlink r:id="rId28" w:history="1">
        <w:r w:rsidRPr="00313D00">
          <w:rPr>
            <w:rFonts w:cs="Times New Roman"/>
            <w:szCs w:val="28"/>
            <w:u w:val="single"/>
            <w:lang w:val="en-US"/>
          </w:rPr>
          <w:t>https</w:t>
        </w:r>
        <w:r w:rsidRPr="00CE22B8">
          <w:rPr>
            <w:rFonts w:cs="Times New Roman"/>
            <w:szCs w:val="28"/>
            <w:u w:val="single"/>
          </w:rPr>
          <w:t>://</w:t>
        </w:r>
        <w:r w:rsidRPr="00313D00">
          <w:rPr>
            <w:rFonts w:cs="Times New Roman"/>
            <w:szCs w:val="28"/>
            <w:u w:val="single"/>
            <w:lang w:val="en-US"/>
          </w:rPr>
          <w:t>op</w:t>
        </w:r>
        <w:r w:rsidRPr="00CE22B8">
          <w:rPr>
            <w:rFonts w:cs="Times New Roman"/>
            <w:szCs w:val="28"/>
            <w:u w:val="single"/>
          </w:rPr>
          <w:t>.</w:t>
        </w:r>
        <w:proofErr w:type="spellStart"/>
        <w:r w:rsidRPr="00313D00">
          <w:rPr>
            <w:rFonts w:cs="Times New Roman"/>
            <w:szCs w:val="28"/>
            <w:u w:val="single"/>
            <w:lang w:val="en-US"/>
          </w:rPr>
          <w:t>europa</w:t>
        </w:r>
        <w:proofErr w:type="spellEnd"/>
        <w:r w:rsidRPr="00CE22B8">
          <w:rPr>
            <w:rFonts w:cs="Times New Roman"/>
            <w:szCs w:val="28"/>
            <w:u w:val="single"/>
          </w:rPr>
          <w:t>.</w:t>
        </w:r>
        <w:proofErr w:type="spellStart"/>
        <w:r w:rsidRPr="00313D00">
          <w:rPr>
            <w:rFonts w:cs="Times New Roman"/>
            <w:szCs w:val="28"/>
            <w:u w:val="single"/>
            <w:lang w:val="en-US"/>
          </w:rPr>
          <w:t>eu</w:t>
        </w:r>
        <w:proofErr w:type="spellEnd"/>
        <w:r w:rsidRPr="00CE22B8">
          <w:rPr>
            <w:rFonts w:cs="Times New Roman"/>
            <w:szCs w:val="28"/>
            <w:u w:val="single"/>
          </w:rPr>
          <w:t>/</w:t>
        </w:r>
        <w:proofErr w:type="spellStart"/>
        <w:r w:rsidRPr="00313D00">
          <w:rPr>
            <w:rFonts w:cs="Times New Roman"/>
            <w:szCs w:val="28"/>
            <w:u w:val="single"/>
            <w:lang w:val="en-US"/>
          </w:rPr>
          <w:t>en</w:t>
        </w:r>
        <w:proofErr w:type="spellEnd"/>
        <w:r w:rsidRPr="00CE22B8">
          <w:rPr>
            <w:rFonts w:cs="Times New Roman"/>
            <w:szCs w:val="28"/>
            <w:u w:val="single"/>
          </w:rPr>
          <w:t>/</w:t>
        </w:r>
        <w:r w:rsidRPr="00313D00">
          <w:rPr>
            <w:rFonts w:cs="Times New Roman"/>
            <w:szCs w:val="28"/>
            <w:u w:val="single"/>
            <w:lang w:val="en-US"/>
          </w:rPr>
          <w:t>publication</w:t>
        </w:r>
        <w:r w:rsidRPr="00CE22B8">
          <w:rPr>
            <w:rFonts w:cs="Times New Roman"/>
            <w:szCs w:val="28"/>
            <w:u w:val="single"/>
          </w:rPr>
          <w:t>-</w:t>
        </w:r>
        <w:r w:rsidRPr="00313D00">
          <w:rPr>
            <w:rFonts w:cs="Times New Roman"/>
            <w:szCs w:val="28"/>
            <w:u w:val="single"/>
            <w:lang w:val="en-US"/>
          </w:rPr>
          <w:t>detail</w:t>
        </w:r>
        <w:r w:rsidRPr="00CE22B8">
          <w:rPr>
            <w:rFonts w:cs="Times New Roman"/>
            <w:szCs w:val="28"/>
            <w:u w:val="single"/>
          </w:rPr>
          <w:t>/-/</w:t>
        </w:r>
        <w:r w:rsidRPr="00313D00">
          <w:rPr>
            <w:rFonts w:cs="Times New Roman"/>
            <w:szCs w:val="28"/>
            <w:u w:val="single"/>
            <w:lang w:val="en-US"/>
          </w:rPr>
          <w:t>publication</w:t>
        </w:r>
        <w:r w:rsidRPr="00CE22B8">
          <w:rPr>
            <w:rFonts w:cs="Times New Roman"/>
            <w:szCs w:val="28"/>
            <w:u w:val="single"/>
          </w:rPr>
          <w:t>/</w:t>
        </w:r>
        <w:r w:rsidRPr="00313D00">
          <w:rPr>
            <w:rFonts w:cs="Times New Roman"/>
            <w:szCs w:val="28"/>
            <w:u w:val="single"/>
            <w:lang w:val="en-US"/>
          </w:rPr>
          <w:t>e</w:t>
        </w:r>
        <w:r w:rsidRPr="00CE22B8">
          <w:rPr>
            <w:rFonts w:cs="Times New Roman"/>
            <w:szCs w:val="28"/>
            <w:u w:val="single"/>
          </w:rPr>
          <w:t>3706908-</w:t>
        </w:r>
        <w:proofErr w:type="spellStart"/>
        <w:r w:rsidRPr="00313D00">
          <w:rPr>
            <w:rFonts w:cs="Times New Roman"/>
            <w:szCs w:val="28"/>
            <w:u w:val="single"/>
            <w:lang w:val="en-US"/>
          </w:rPr>
          <w:t>db</w:t>
        </w:r>
        <w:proofErr w:type="spellEnd"/>
        <w:r w:rsidRPr="00CE22B8">
          <w:rPr>
            <w:rFonts w:cs="Times New Roman"/>
            <w:szCs w:val="28"/>
            <w:u w:val="single"/>
          </w:rPr>
          <w:t>0</w:t>
        </w:r>
        <w:r w:rsidRPr="00313D00">
          <w:rPr>
            <w:rFonts w:cs="Times New Roman"/>
            <w:szCs w:val="28"/>
            <w:u w:val="single"/>
            <w:lang w:val="en-US"/>
          </w:rPr>
          <w:t>f</w:t>
        </w:r>
        <w:r w:rsidRPr="00CE22B8">
          <w:rPr>
            <w:rFonts w:cs="Times New Roman"/>
            <w:szCs w:val="28"/>
            <w:u w:val="single"/>
          </w:rPr>
          <w:t>-11</w:t>
        </w:r>
        <w:proofErr w:type="spellStart"/>
        <w:r w:rsidRPr="00313D00">
          <w:rPr>
            <w:rFonts w:cs="Times New Roman"/>
            <w:szCs w:val="28"/>
            <w:u w:val="single"/>
            <w:lang w:val="en-US"/>
          </w:rPr>
          <w:t>ec</w:t>
        </w:r>
        <w:proofErr w:type="spellEnd"/>
        <w:r w:rsidRPr="00CE22B8">
          <w:rPr>
            <w:rFonts w:cs="Times New Roman"/>
            <w:szCs w:val="28"/>
            <w:u w:val="single"/>
          </w:rPr>
          <w:t>-</w:t>
        </w:r>
        <w:r w:rsidRPr="00313D00">
          <w:rPr>
            <w:rFonts w:cs="Times New Roman"/>
            <w:szCs w:val="28"/>
            <w:u w:val="single"/>
            <w:lang w:val="en-US"/>
          </w:rPr>
          <w:t>a</w:t>
        </w:r>
        <w:r w:rsidRPr="00CE22B8">
          <w:rPr>
            <w:rFonts w:cs="Times New Roman"/>
            <w:szCs w:val="28"/>
            <w:u w:val="single"/>
          </w:rPr>
          <w:t>95</w:t>
        </w:r>
        <w:r w:rsidRPr="00313D00">
          <w:rPr>
            <w:rFonts w:cs="Times New Roman"/>
            <w:szCs w:val="28"/>
            <w:u w:val="single"/>
            <w:lang w:val="en-US"/>
          </w:rPr>
          <w:t>f</w:t>
        </w:r>
        <w:r w:rsidRPr="00CE22B8">
          <w:rPr>
            <w:rFonts w:cs="Times New Roman"/>
            <w:szCs w:val="28"/>
            <w:u w:val="single"/>
          </w:rPr>
          <w:t>-01</w:t>
        </w:r>
        <w:r w:rsidRPr="00313D00">
          <w:rPr>
            <w:rFonts w:cs="Times New Roman"/>
            <w:szCs w:val="28"/>
            <w:u w:val="single"/>
            <w:lang w:val="en-US"/>
          </w:rPr>
          <w:t>aa</w:t>
        </w:r>
        <w:r w:rsidRPr="00CE22B8">
          <w:rPr>
            <w:rFonts w:cs="Times New Roman"/>
            <w:szCs w:val="28"/>
            <w:u w:val="single"/>
          </w:rPr>
          <w:t>75</w:t>
        </w:r>
        <w:r w:rsidRPr="00313D00">
          <w:rPr>
            <w:rFonts w:cs="Times New Roman"/>
            <w:szCs w:val="28"/>
            <w:u w:val="single"/>
            <w:lang w:val="en-US"/>
          </w:rPr>
          <w:t>ed</w:t>
        </w:r>
        <w:r w:rsidRPr="00CE22B8">
          <w:rPr>
            <w:rFonts w:cs="Times New Roman"/>
            <w:szCs w:val="28"/>
            <w:u w:val="single"/>
          </w:rPr>
          <w:t>71</w:t>
        </w:r>
        <w:r w:rsidRPr="00313D00">
          <w:rPr>
            <w:rFonts w:cs="Times New Roman"/>
            <w:szCs w:val="28"/>
            <w:u w:val="single"/>
            <w:lang w:val="en-US"/>
          </w:rPr>
          <w:t>a</w:t>
        </w:r>
        <w:r w:rsidRPr="00CE22B8">
          <w:rPr>
            <w:rFonts w:cs="Times New Roman"/>
            <w:szCs w:val="28"/>
            <w:u w:val="single"/>
          </w:rPr>
          <w:t>1/</w:t>
        </w:r>
        <w:r w:rsidRPr="00313D00">
          <w:rPr>
            <w:rFonts w:cs="Times New Roman"/>
            <w:szCs w:val="28"/>
            <w:u w:val="single"/>
            <w:lang w:val="en-US"/>
          </w:rPr>
          <w:t>language</w:t>
        </w:r>
        <w:r w:rsidRPr="00CE22B8">
          <w:rPr>
            <w:rFonts w:cs="Times New Roman"/>
            <w:szCs w:val="28"/>
            <w:u w:val="single"/>
          </w:rPr>
          <w:t>-</w:t>
        </w:r>
        <w:proofErr w:type="spellStart"/>
        <w:r w:rsidRPr="00313D00">
          <w:rPr>
            <w:rFonts w:cs="Times New Roman"/>
            <w:szCs w:val="28"/>
            <w:u w:val="single"/>
            <w:lang w:val="en-US"/>
          </w:rPr>
          <w:t>en</w:t>
        </w:r>
        <w:proofErr w:type="spellEnd"/>
      </w:hyperlink>
      <w:r w:rsidRPr="00CE22B8">
        <w:rPr>
          <w:rFonts w:cs="Times New Roman"/>
          <w:szCs w:val="28"/>
        </w:rPr>
        <w:t xml:space="preserve"> (дата </w:t>
      </w:r>
      <w:proofErr w:type="spellStart"/>
      <w:r w:rsidRPr="00CE22B8">
        <w:rPr>
          <w:rFonts w:cs="Times New Roman"/>
          <w:szCs w:val="28"/>
        </w:rPr>
        <w:t>звернення</w:t>
      </w:r>
      <w:proofErr w:type="spellEnd"/>
      <w:r w:rsidRPr="00CE22B8">
        <w:rPr>
          <w:rFonts w:cs="Times New Roman"/>
          <w:szCs w:val="28"/>
        </w:rPr>
        <w:t>: 14.05.2025).</w:t>
      </w:r>
    </w:p>
    <w:p w14:paraId="6A52D7DF" w14:textId="77777777" w:rsidR="00313D00" w:rsidRPr="00313D00" w:rsidRDefault="00313D00" w:rsidP="00313D00">
      <w:pPr>
        <w:pStyle w:val="a5"/>
        <w:numPr>
          <w:ilvl w:val="0"/>
          <w:numId w:val="9"/>
        </w:numPr>
        <w:autoSpaceDE w:val="0"/>
        <w:autoSpaceDN w:val="0"/>
        <w:adjustRightInd w:val="0"/>
        <w:jc w:val="both"/>
        <w:rPr>
          <w:rFonts w:cs="Times New Roman"/>
          <w:szCs w:val="28"/>
          <w:lang w:val="en-US"/>
        </w:rPr>
      </w:pPr>
      <w:r w:rsidRPr="00313D00">
        <w:rPr>
          <w:rFonts w:cs="Times New Roman"/>
          <w:szCs w:val="28"/>
          <w:lang w:val="en-US"/>
        </w:rPr>
        <w:t xml:space="preserve">Galbreath D. J., </w:t>
      </w:r>
      <w:proofErr w:type="spellStart"/>
      <w:r w:rsidRPr="00313D00">
        <w:rPr>
          <w:rFonts w:cs="Times New Roman"/>
          <w:szCs w:val="28"/>
          <w:lang w:val="en-US"/>
        </w:rPr>
        <w:t>Lašas</w:t>
      </w:r>
      <w:proofErr w:type="spellEnd"/>
      <w:r w:rsidRPr="00313D00">
        <w:rPr>
          <w:rFonts w:cs="Times New Roman"/>
          <w:szCs w:val="28"/>
          <w:lang w:val="en-US"/>
        </w:rPr>
        <w:t xml:space="preserve"> A., Lamoreaux J. W. Continuity and change in the Baltic Sea region: Comparing foreign policies. Amsterdam-New </w:t>
      </w:r>
      <w:proofErr w:type="gramStart"/>
      <w:r w:rsidRPr="00313D00">
        <w:rPr>
          <w:rFonts w:cs="Times New Roman"/>
          <w:szCs w:val="28"/>
          <w:lang w:val="en-US"/>
        </w:rPr>
        <w:t>York :</w:t>
      </w:r>
      <w:proofErr w:type="gramEnd"/>
      <w:r w:rsidRPr="00313D00">
        <w:rPr>
          <w:rFonts w:cs="Times New Roman"/>
          <w:szCs w:val="28"/>
          <w:lang w:val="en-US"/>
        </w:rPr>
        <w:t xml:space="preserve"> </w:t>
      </w:r>
      <w:proofErr w:type="spellStart"/>
      <w:r w:rsidRPr="00313D00">
        <w:rPr>
          <w:rFonts w:cs="Times New Roman"/>
          <w:szCs w:val="28"/>
          <w:lang w:val="en-US"/>
        </w:rPr>
        <w:t>Rodopi</w:t>
      </w:r>
      <w:proofErr w:type="spellEnd"/>
      <w:r w:rsidRPr="00313D00">
        <w:rPr>
          <w:rFonts w:cs="Times New Roman"/>
          <w:szCs w:val="28"/>
          <w:lang w:val="en-US"/>
        </w:rPr>
        <w:t>, 2008. 183 p.</w:t>
      </w:r>
    </w:p>
    <w:p w14:paraId="07307C41" w14:textId="77777777" w:rsidR="00313D00" w:rsidRPr="00313D00" w:rsidRDefault="00313D00" w:rsidP="00313D00">
      <w:pPr>
        <w:pStyle w:val="a5"/>
        <w:numPr>
          <w:ilvl w:val="0"/>
          <w:numId w:val="9"/>
        </w:numPr>
        <w:autoSpaceDE w:val="0"/>
        <w:autoSpaceDN w:val="0"/>
        <w:adjustRightInd w:val="0"/>
        <w:jc w:val="both"/>
        <w:rPr>
          <w:rFonts w:cs="Times New Roman"/>
          <w:szCs w:val="28"/>
          <w:lang w:val="en-US"/>
        </w:rPr>
      </w:pPr>
      <w:r w:rsidRPr="00313D00">
        <w:rPr>
          <w:rFonts w:cs="Times New Roman"/>
          <w:szCs w:val="28"/>
          <w:lang w:val="en-US"/>
        </w:rPr>
        <w:lastRenderedPageBreak/>
        <w:t xml:space="preserve">Helwig N. EU Strategic Autonomy after the Russian Invasion of Ukraine: Europe's Capacity to Act in Times of War. JCMS: Journal of Common Market Studies. 2023. URL: </w:t>
      </w:r>
      <w:hyperlink r:id="rId29" w:history="1">
        <w:r w:rsidRPr="00313D00">
          <w:rPr>
            <w:rFonts w:cs="Times New Roman"/>
            <w:szCs w:val="28"/>
            <w:u w:val="single"/>
            <w:lang w:val="en-US"/>
          </w:rPr>
          <w:t>https://doi.org/10.1111/jcms.13527</w:t>
        </w:r>
      </w:hyperlink>
      <w:r w:rsidRPr="00313D00">
        <w:rPr>
          <w:rFonts w:cs="Times New Roman"/>
          <w:szCs w:val="28"/>
          <w:lang w:val="en-US"/>
        </w:rPr>
        <w:t xml:space="preserve"> (</w:t>
      </w:r>
      <w:proofErr w:type="spellStart"/>
      <w:r w:rsidRPr="00313D00">
        <w:rPr>
          <w:rFonts w:cs="Times New Roman"/>
          <w:szCs w:val="28"/>
          <w:lang w:val="en-US"/>
        </w:rPr>
        <w:t>дата</w:t>
      </w:r>
      <w:proofErr w:type="spellEnd"/>
      <w:r w:rsidRPr="00313D00">
        <w:rPr>
          <w:rFonts w:cs="Times New Roman"/>
          <w:szCs w:val="28"/>
          <w:lang w:val="en-US"/>
        </w:rPr>
        <w:t xml:space="preserve"> </w:t>
      </w:r>
      <w:proofErr w:type="spellStart"/>
      <w:r w:rsidRPr="00313D00">
        <w:rPr>
          <w:rFonts w:cs="Times New Roman"/>
          <w:szCs w:val="28"/>
          <w:lang w:val="en-US"/>
        </w:rPr>
        <w:t>звернення</w:t>
      </w:r>
      <w:proofErr w:type="spellEnd"/>
      <w:r w:rsidRPr="00313D00">
        <w:rPr>
          <w:rFonts w:cs="Times New Roman"/>
          <w:szCs w:val="28"/>
          <w:lang w:val="en-US"/>
        </w:rPr>
        <w:t>: 14.05.2025).</w:t>
      </w:r>
    </w:p>
    <w:p w14:paraId="6A1B6EDA" w14:textId="77777777" w:rsidR="00313D00" w:rsidRPr="00313D00" w:rsidRDefault="00313D00" w:rsidP="00313D00">
      <w:pPr>
        <w:pStyle w:val="a5"/>
        <w:numPr>
          <w:ilvl w:val="0"/>
          <w:numId w:val="9"/>
        </w:numPr>
        <w:autoSpaceDE w:val="0"/>
        <w:autoSpaceDN w:val="0"/>
        <w:adjustRightInd w:val="0"/>
        <w:jc w:val="both"/>
        <w:rPr>
          <w:rFonts w:cs="Times New Roman"/>
          <w:szCs w:val="28"/>
          <w:lang w:val="en-US"/>
        </w:rPr>
      </w:pPr>
      <w:r w:rsidRPr="00313D00">
        <w:rPr>
          <w:rFonts w:cs="Times New Roman"/>
          <w:szCs w:val="28"/>
          <w:lang w:val="en-US"/>
        </w:rPr>
        <w:t xml:space="preserve">Howorth J. Strategic Autonomy: Why It's Not About Europe Going </w:t>
      </w:r>
      <w:proofErr w:type="gramStart"/>
      <w:r w:rsidRPr="00313D00">
        <w:rPr>
          <w:rFonts w:cs="Times New Roman"/>
          <w:szCs w:val="28"/>
          <w:lang w:val="en-US"/>
        </w:rPr>
        <w:t>it</w:t>
      </w:r>
      <w:proofErr w:type="gramEnd"/>
      <w:r w:rsidRPr="00313D00">
        <w:rPr>
          <w:rFonts w:cs="Times New Roman"/>
          <w:szCs w:val="28"/>
          <w:lang w:val="en-US"/>
        </w:rPr>
        <w:t xml:space="preserve"> Alone. European View. 2019. № 18(2). С. 254-254. URL: </w:t>
      </w:r>
      <w:hyperlink r:id="rId30" w:history="1">
        <w:r w:rsidRPr="00313D00">
          <w:rPr>
            <w:rFonts w:cs="Times New Roman"/>
            <w:szCs w:val="28"/>
            <w:u w:val="single"/>
            <w:lang w:val="en-US"/>
          </w:rPr>
          <w:t>https://www.martenscentre.eu/publication/strategic-autonomy-why-its-not-about-europe-going-it-alone</w:t>
        </w:r>
      </w:hyperlink>
      <w:r w:rsidRPr="00313D00">
        <w:rPr>
          <w:rFonts w:cs="Times New Roman"/>
          <w:szCs w:val="28"/>
          <w:lang w:val="en-US"/>
        </w:rPr>
        <w:t xml:space="preserve"> (</w:t>
      </w:r>
      <w:proofErr w:type="spellStart"/>
      <w:r w:rsidRPr="00313D00">
        <w:rPr>
          <w:rFonts w:cs="Times New Roman"/>
          <w:szCs w:val="28"/>
          <w:lang w:val="en-US"/>
        </w:rPr>
        <w:t>дата</w:t>
      </w:r>
      <w:proofErr w:type="spellEnd"/>
      <w:r w:rsidRPr="00313D00">
        <w:rPr>
          <w:rFonts w:cs="Times New Roman"/>
          <w:szCs w:val="28"/>
          <w:lang w:val="en-US"/>
        </w:rPr>
        <w:t xml:space="preserve"> </w:t>
      </w:r>
      <w:proofErr w:type="spellStart"/>
      <w:r w:rsidRPr="00313D00">
        <w:rPr>
          <w:rFonts w:cs="Times New Roman"/>
          <w:szCs w:val="28"/>
          <w:lang w:val="en-US"/>
        </w:rPr>
        <w:t>звернення</w:t>
      </w:r>
      <w:proofErr w:type="spellEnd"/>
      <w:r w:rsidRPr="00313D00">
        <w:rPr>
          <w:rFonts w:cs="Times New Roman"/>
          <w:szCs w:val="28"/>
          <w:lang w:val="en-US"/>
        </w:rPr>
        <w:t>: 14.05.2025).</w:t>
      </w:r>
    </w:p>
    <w:p w14:paraId="3978859A" w14:textId="77777777" w:rsidR="00313D00" w:rsidRPr="00313D00" w:rsidRDefault="00313D00" w:rsidP="00313D00">
      <w:pPr>
        <w:pStyle w:val="a5"/>
        <w:numPr>
          <w:ilvl w:val="0"/>
          <w:numId w:val="9"/>
        </w:numPr>
        <w:autoSpaceDE w:val="0"/>
        <w:autoSpaceDN w:val="0"/>
        <w:adjustRightInd w:val="0"/>
        <w:jc w:val="both"/>
        <w:rPr>
          <w:rFonts w:cs="Times New Roman"/>
          <w:szCs w:val="28"/>
          <w:lang w:val="en-US"/>
        </w:rPr>
      </w:pPr>
      <w:r w:rsidRPr="00313D00">
        <w:rPr>
          <w:rFonts w:cs="Times New Roman"/>
          <w:szCs w:val="28"/>
          <w:lang w:val="en-US"/>
        </w:rPr>
        <w:t>Park A. Baltic Foreign Policy Making Establishments of the 1990s: Influential Institutional and Individual Actors. Journal of Baltic Studies. 2005. Vol. 36, No. 2. P. 178–208.</w:t>
      </w:r>
    </w:p>
    <w:p w14:paraId="5FAA27B4" w14:textId="77777777" w:rsidR="00313D00" w:rsidRPr="00313D00" w:rsidRDefault="00313D00" w:rsidP="00313D00">
      <w:pPr>
        <w:pStyle w:val="a5"/>
        <w:numPr>
          <w:ilvl w:val="0"/>
          <w:numId w:val="9"/>
        </w:numPr>
        <w:autoSpaceDE w:val="0"/>
        <w:autoSpaceDN w:val="0"/>
        <w:adjustRightInd w:val="0"/>
        <w:jc w:val="both"/>
        <w:rPr>
          <w:rFonts w:cs="Times New Roman"/>
          <w:szCs w:val="28"/>
          <w:lang w:val="en-US"/>
        </w:rPr>
      </w:pPr>
      <w:r w:rsidRPr="00313D00">
        <w:rPr>
          <w:rFonts w:cs="Times New Roman"/>
          <w:szCs w:val="28"/>
          <w:lang w:val="en-US"/>
        </w:rPr>
        <w:t xml:space="preserve">Simón L. The Ukraine War and the Future of the European Union's Security and Defense Policy. Center for Strategic and International Studies (CSIS). 2023. URL: </w:t>
      </w:r>
      <w:hyperlink r:id="rId31" w:history="1">
        <w:r w:rsidRPr="00313D00">
          <w:rPr>
            <w:rFonts w:cs="Times New Roman"/>
            <w:szCs w:val="28"/>
            <w:u w:val="single"/>
            <w:lang w:val="en-US"/>
          </w:rPr>
          <w:t>https://www.csis.org/analysis/ukraine-war-and-future-european-unions-securityand-defense-policy</w:t>
        </w:r>
      </w:hyperlink>
      <w:r w:rsidRPr="00313D00">
        <w:rPr>
          <w:rFonts w:cs="Times New Roman"/>
          <w:szCs w:val="28"/>
          <w:lang w:val="en-US"/>
        </w:rPr>
        <w:t xml:space="preserve"> (</w:t>
      </w:r>
      <w:proofErr w:type="spellStart"/>
      <w:r w:rsidRPr="00313D00">
        <w:rPr>
          <w:rFonts w:cs="Times New Roman"/>
          <w:szCs w:val="28"/>
          <w:lang w:val="en-US"/>
        </w:rPr>
        <w:t>дата</w:t>
      </w:r>
      <w:proofErr w:type="spellEnd"/>
      <w:r w:rsidRPr="00313D00">
        <w:rPr>
          <w:rFonts w:cs="Times New Roman"/>
          <w:szCs w:val="28"/>
          <w:lang w:val="en-US"/>
        </w:rPr>
        <w:t xml:space="preserve"> </w:t>
      </w:r>
      <w:proofErr w:type="spellStart"/>
      <w:r w:rsidRPr="00313D00">
        <w:rPr>
          <w:rFonts w:cs="Times New Roman"/>
          <w:szCs w:val="28"/>
          <w:lang w:val="en-US"/>
        </w:rPr>
        <w:t>звернення</w:t>
      </w:r>
      <w:proofErr w:type="spellEnd"/>
      <w:r w:rsidRPr="00313D00">
        <w:rPr>
          <w:rFonts w:cs="Times New Roman"/>
          <w:szCs w:val="28"/>
          <w:lang w:val="en-US"/>
        </w:rPr>
        <w:t>: 14.05.2025).</w:t>
      </w:r>
    </w:p>
    <w:p w14:paraId="1DC21E87" w14:textId="77777777" w:rsidR="00313D00" w:rsidRPr="00CE22B8" w:rsidRDefault="00313D00" w:rsidP="00313D00">
      <w:pPr>
        <w:pStyle w:val="a5"/>
        <w:numPr>
          <w:ilvl w:val="0"/>
          <w:numId w:val="9"/>
        </w:numPr>
        <w:autoSpaceDE w:val="0"/>
        <w:autoSpaceDN w:val="0"/>
        <w:adjustRightInd w:val="0"/>
        <w:jc w:val="both"/>
        <w:rPr>
          <w:rFonts w:cs="Times New Roman"/>
          <w:szCs w:val="28"/>
        </w:rPr>
      </w:pPr>
      <w:r w:rsidRPr="00313D00">
        <w:rPr>
          <w:rFonts w:cs="Times New Roman"/>
          <w:szCs w:val="28"/>
          <w:lang w:val="en-US"/>
        </w:rPr>
        <w:t xml:space="preserve">Standard Eurobarometer 89 – Spring 2018. European Commission. </w:t>
      </w:r>
      <w:r w:rsidRPr="00CE22B8">
        <w:rPr>
          <w:rFonts w:cs="Times New Roman"/>
          <w:szCs w:val="28"/>
        </w:rPr>
        <w:t xml:space="preserve">2018. </w:t>
      </w:r>
      <w:r w:rsidRPr="00313D00">
        <w:rPr>
          <w:rFonts w:cs="Times New Roman"/>
          <w:szCs w:val="28"/>
          <w:lang w:val="en-US"/>
        </w:rPr>
        <w:t>URL</w:t>
      </w:r>
      <w:r w:rsidRPr="00CE22B8">
        <w:rPr>
          <w:rFonts w:cs="Times New Roman"/>
          <w:szCs w:val="28"/>
        </w:rPr>
        <w:t xml:space="preserve">: </w:t>
      </w:r>
      <w:hyperlink r:id="rId32" w:history="1">
        <w:r w:rsidRPr="00313D00">
          <w:rPr>
            <w:rFonts w:cs="Times New Roman"/>
            <w:szCs w:val="28"/>
            <w:u w:val="single"/>
            <w:lang w:val="en-US"/>
          </w:rPr>
          <w:t>https</w:t>
        </w:r>
        <w:r w:rsidRPr="00CE22B8">
          <w:rPr>
            <w:rFonts w:cs="Times New Roman"/>
            <w:szCs w:val="28"/>
            <w:u w:val="single"/>
          </w:rPr>
          <w:t>://</w:t>
        </w:r>
        <w:proofErr w:type="spellStart"/>
        <w:r w:rsidRPr="00313D00">
          <w:rPr>
            <w:rFonts w:cs="Times New Roman"/>
            <w:szCs w:val="28"/>
            <w:u w:val="single"/>
            <w:lang w:val="en-US"/>
          </w:rPr>
          <w:t>europa</w:t>
        </w:r>
        <w:proofErr w:type="spellEnd"/>
        <w:r w:rsidRPr="00CE22B8">
          <w:rPr>
            <w:rFonts w:cs="Times New Roman"/>
            <w:szCs w:val="28"/>
            <w:u w:val="single"/>
          </w:rPr>
          <w:t>.</w:t>
        </w:r>
        <w:proofErr w:type="spellStart"/>
        <w:r w:rsidRPr="00313D00">
          <w:rPr>
            <w:rFonts w:cs="Times New Roman"/>
            <w:szCs w:val="28"/>
            <w:u w:val="single"/>
            <w:lang w:val="en-US"/>
          </w:rPr>
          <w:t>eu</w:t>
        </w:r>
        <w:proofErr w:type="spellEnd"/>
        <w:r w:rsidRPr="00CE22B8">
          <w:rPr>
            <w:rFonts w:cs="Times New Roman"/>
            <w:szCs w:val="28"/>
            <w:u w:val="single"/>
          </w:rPr>
          <w:t>/</w:t>
        </w:r>
        <w:proofErr w:type="spellStart"/>
        <w:r w:rsidRPr="00313D00">
          <w:rPr>
            <w:rFonts w:cs="Times New Roman"/>
            <w:szCs w:val="28"/>
            <w:u w:val="single"/>
            <w:lang w:val="en-US"/>
          </w:rPr>
          <w:t>eurobarometer</w:t>
        </w:r>
        <w:proofErr w:type="spellEnd"/>
        <w:r w:rsidRPr="00CE22B8">
          <w:rPr>
            <w:rFonts w:cs="Times New Roman"/>
            <w:szCs w:val="28"/>
            <w:u w:val="single"/>
          </w:rPr>
          <w:t>/</w:t>
        </w:r>
        <w:r w:rsidRPr="00313D00">
          <w:rPr>
            <w:rFonts w:cs="Times New Roman"/>
            <w:szCs w:val="28"/>
            <w:u w:val="single"/>
            <w:lang w:val="en-US"/>
          </w:rPr>
          <w:t>surveys</w:t>
        </w:r>
        <w:r w:rsidRPr="00CE22B8">
          <w:rPr>
            <w:rFonts w:cs="Times New Roman"/>
            <w:szCs w:val="28"/>
            <w:u w:val="single"/>
          </w:rPr>
          <w:t>/</w:t>
        </w:r>
        <w:r w:rsidRPr="00313D00">
          <w:rPr>
            <w:rFonts w:cs="Times New Roman"/>
            <w:szCs w:val="28"/>
            <w:u w:val="single"/>
            <w:lang w:val="en-US"/>
          </w:rPr>
          <w:t>detail</w:t>
        </w:r>
        <w:r w:rsidRPr="00CE22B8">
          <w:rPr>
            <w:rFonts w:cs="Times New Roman"/>
            <w:szCs w:val="28"/>
            <w:u w:val="single"/>
          </w:rPr>
          <w:t>/2180</w:t>
        </w:r>
      </w:hyperlink>
      <w:r w:rsidRPr="00CE22B8">
        <w:rPr>
          <w:rFonts w:cs="Times New Roman"/>
          <w:szCs w:val="28"/>
        </w:rPr>
        <w:t xml:space="preserve"> (дата </w:t>
      </w:r>
      <w:proofErr w:type="spellStart"/>
      <w:r w:rsidRPr="00CE22B8">
        <w:rPr>
          <w:rFonts w:cs="Times New Roman"/>
          <w:szCs w:val="28"/>
        </w:rPr>
        <w:t>звернення</w:t>
      </w:r>
      <w:proofErr w:type="spellEnd"/>
      <w:r w:rsidRPr="00CE22B8">
        <w:rPr>
          <w:rFonts w:cs="Times New Roman"/>
          <w:szCs w:val="28"/>
        </w:rPr>
        <w:t>: 14.05.2025).</w:t>
      </w:r>
    </w:p>
    <w:p w14:paraId="3B19D75E" w14:textId="77777777" w:rsidR="00313D00" w:rsidRPr="00CE22B8" w:rsidRDefault="00313D00" w:rsidP="00313D00">
      <w:pPr>
        <w:pStyle w:val="a5"/>
        <w:numPr>
          <w:ilvl w:val="0"/>
          <w:numId w:val="9"/>
        </w:numPr>
        <w:autoSpaceDE w:val="0"/>
        <w:autoSpaceDN w:val="0"/>
        <w:adjustRightInd w:val="0"/>
        <w:jc w:val="both"/>
        <w:rPr>
          <w:rFonts w:cs="Times New Roman"/>
          <w:szCs w:val="28"/>
        </w:rPr>
      </w:pPr>
      <w:r w:rsidRPr="00313D00">
        <w:rPr>
          <w:rFonts w:cs="Times New Roman"/>
          <w:szCs w:val="28"/>
          <w:lang w:val="en-US"/>
        </w:rPr>
        <w:t xml:space="preserve">Treaty on European Union. </w:t>
      </w:r>
      <w:proofErr w:type="spellStart"/>
      <w:r w:rsidRPr="00313D00">
        <w:rPr>
          <w:rFonts w:cs="Times New Roman"/>
          <w:szCs w:val="28"/>
          <w:lang w:val="en-US"/>
        </w:rPr>
        <w:t>Lexparency</w:t>
      </w:r>
      <w:proofErr w:type="spellEnd"/>
      <w:r w:rsidRPr="00313D00">
        <w:rPr>
          <w:rFonts w:cs="Times New Roman"/>
          <w:szCs w:val="28"/>
          <w:lang w:val="en-US"/>
        </w:rPr>
        <w:t>. URL</w:t>
      </w:r>
      <w:r w:rsidRPr="00CE22B8">
        <w:rPr>
          <w:rFonts w:cs="Times New Roman"/>
          <w:szCs w:val="28"/>
        </w:rPr>
        <w:t xml:space="preserve">: </w:t>
      </w:r>
      <w:hyperlink r:id="rId33" w:history="1">
        <w:r w:rsidRPr="00313D00">
          <w:rPr>
            <w:rFonts w:cs="Times New Roman"/>
            <w:szCs w:val="28"/>
            <w:u w:val="single"/>
            <w:lang w:val="en-US"/>
          </w:rPr>
          <w:t>https</w:t>
        </w:r>
        <w:r w:rsidRPr="00CE22B8">
          <w:rPr>
            <w:rFonts w:cs="Times New Roman"/>
            <w:szCs w:val="28"/>
            <w:u w:val="single"/>
          </w:rPr>
          <w:t>://</w:t>
        </w:r>
        <w:proofErr w:type="spellStart"/>
        <w:r w:rsidRPr="00313D00">
          <w:rPr>
            <w:rFonts w:cs="Times New Roman"/>
            <w:szCs w:val="28"/>
            <w:u w:val="single"/>
            <w:lang w:val="en-US"/>
          </w:rPr>
          <w:t>lexparency</w:t>
        </w:r>
        <w:proofErr w:type="spellEnd"/>
        <w:r w:rsidRPr="00CE22B8">
          <w:rPr>
            <w:rFonts w:cs="Times New Roman"/>
            <w:szCs w:val="28"/>
            <w:u w:val="single"/>
          </w:rPr>
          <w:t>.</w:t>
        </w:r>
        <w:r w:rsidRPr="00313D00">
          <w:rPr>
            <w:rFonts w:cs="Times New Roman"/>
            <w:szCs w:val="28"/>
            <w:u w:val="single"/>
            <w:lang w:val="en-US"/>
          </w:rPr>
          <w:t>org</w:t>
        </w:r>
        <w:r w:rsidRPr="00CE22B8">
          <w:rPr>
            <w:rFonts w:cs="Times New Roman"/>
            <w:szCs w:val="28"/>
            <w:u w:val="single"/>
          </w:rPr>
          <w:t>/</w:t>
        </w:r>
        <w:proofErr w:type="spellStart"/>
        <w:r w:rsidRPr="00313D00">
          <w:rPr>
            <w:rFonts w:cs="Times New Roman"/>
            <w:szCs w:val="28"/>
            <w:u w:val="single"/>
            <w:lang w:val="en-US"/>
          </w:rPr>
          <w:t>eu</w:t>
        </w:r>
        <w:proofErr w:type="spellEnd"/>
        <w:r w:rsidRPr="00CE22B8">
          <w:rPr>
            <w:rFonts w:cs="Times New Roman"/>
            <w:szCs w:val="28"/>
            <w:u w:val="single"/>
          </w:rPr>
          <w:t>/</w:t>
        </w:r>
        <w:r w:rsidRPr="00313D00">
          <w:rPr>
            <w:rFonts w:cs="Times New Roman"/>
            <w:szCs w:val="28"/>
            <w:u w:val="single"/>
            <w:lang w:val="en-US"/>
          </w:rPr>
          <w:t>TEU</w:t>
        </w:r>
        <w:r w:rsidRPr="00CE22B8">
          <w:rPr>
            <w:rFonts w:cs="Times New Roman"/>
            <w:szCs w:val="28"/>
            <w:u w:val="single"/>
          </w:rPr>
          <w:t>/</w:t>
        </w:r>
        <w:r w:rsidRPr="00313D00">
          <w:rPr>
            <w:rFonts w:cs="Times New Roman"/>
            <w:szCs w:val="28"/>
            <w:u w:val="single"/>
            <w:lang w:val="en-US"/>
          </w:rPr>
          <w:t>ART</w:t>
        </w:r>
        <w:r w:rsidRPr="00CE22B8">
          <w:rPr>
            <w:rFonts w:cs="Times New Roman"/>
            <w:szCs w:val="28"/>
            <w:u w:val="single"/>
          </w:rPr>
          <w:t>_43/</w:t>
        </w:r>
      </w:hyperlink>
      <w:r w:rsidRPr="00CE22B8">
        <w:rPr>
          <w:rFonts w:cs="Times New Roman"/>
          <w:szCs w:val="28"/>
        </w:rPr>
        <w:t xml:space="preserve"> (дата </w:t>
      </w:r>
      <w:proofErr w:type="spellStart"/>
      <w:r w:rsidRPr="00CE22B8">
        <w:rPr>
          <w:rFonts w:cs="Times New Roman"/>
          <w:szCs w:val="28"/>
        </w:rPr>
        <w:t>звернення</w:t>
      </w:r>
      <w:proofErr w:type="spellEnd"/>
      <w:r w:rsidRPr="00CE22B8">
        <w:rPr>
          <w:rFonts w:cs="Times New Roman"/>
          <w:szCs w:val="28"/>
        </w:rPr>
        <w:t>: 14.05.2025).</w:t>
      </w:r>
    </w:p>
    <w:p w14:paraId="6967FF12" w14:textId="77777777" w:rsidR="00313D00" w:rsidRPr="00313D00" w:rsidRDefault="00313D00" w:rsidP="00313D00">
      <w:pPr>
        <w:pStyle w:val="a5"/>
        <w:numPr>
          <w:ilvl w:val="0"/>
          <w:numId w:val="9"/>
        </w:numPr>
        <w:autoSpaceDE w:val="0"/>
        <w:autoSpaceDN w:val="0"/>
        <w:adjustRightInd w:val="0"/>
        <w:jc w:val="both"/>
        <w:rPr>
          <w:rFonts w:cs="Times New Roman"/>
          <w:szCs w:val="28"/>
          <w:lang w:val="en-US"/>
        </w:rPr>
      </w:pPr>
      <w:proofErr w:type="spellStart"/>
      <w:r w:rsidRPr="00313D00">
        <w:rPr>
          <w:rFonts w:cs="Times New Roman"/>
          <w:szCs w:val="28"/>
          <w:lang w:val="en-US"/>
        </w:rPr>
        <w:t>Veebel</w:t>
      </w:r>
      <w:proofErr w:type="spellEnd"/>
      <w:r w:rsidRPr="00313D00">
        <w:rPr>
          <w:rFonts w:cs="Times New Roman"/>
          <w:szCs w:val="28"/>
          <w:lang w:val="en-US"/>
        </w:rPr>
        <w:t xml:space="preserve"> V., Ploom I. The Deterrence Credibility of NATO and the Readiness of the Baltic States to Employ the Deterrence Instruments. Lithuanian Annual Strategic Review. 2017–2018. Vol. 16. P. 171–200.</w:t>
      </w:r>
    </w:p>
    <w:p w14:paraId="55B15225" w14:textId="77777777" w:rsidR="00313D00" w:rsidRPr="00313D00" w:rsidRDefault="00313D00" w:rsidP="00313D00">
      <w:pPr>
        <w:pStyle w:val="a5"/>
        <w:numPr>
          <w:ilvl w:val="0"/>
          <w:numId w:val="9"/>
        </w:numPr>
        <w:autoSpaceDE w:val="0"/>
        <w:autoSpaceDN w:val="0"/>
        <w:adjustRightInd w:val="0"/>
        <w:jc w:val="both"/>
        <w:rPr>
          <w:rFonts w:cs="Times New Roman"/>
          <w:szCs w:val="28"/>
          <w:lang w:val="en-US"/>
        </w:rPr>
      </w:pPr>
      <w:r w:rsidRPr="00313D00">
        <w:rPr>
          <w:rFonts w:cs="Times New Roman"/>
          <w:szCs w:val="28"/>
          <w:lang w:val="en-US"/>
        </w:rPr>
        <w:t xml:space="preserve">Vitkus G. Lithuania's Security and </w:t>
      </w:r>
      <w:proofErr w:type="spellStart"/>
      <w:r w:rsidRPr="00313D00">
        <w:rPr>
          <w:rFonts w:cs="Times New Roman"/>
          <w:szCs w:val="28"/>
          <w:lang w:val="en-US"/>
        </w:rPr>
        <w:t>Defence</w:t>
      </w:r>
      <w:proofErr w:type="spellEnd"/>
      <w:r w:rsidRPr="00313D00">
        <w:rPr>
          <w:rFonts w:cs="Times New Roman"/>
          <w:szCs w:val="28"/>
          <w:lang w:val="en-US"/>
        </w:rPr>
        <w:t xml:space="preserve"> in 2017–2018: the International Context and New Research. Preface. Lithuanian Annual Strategic Review. 2017–2018. Vol. 16. P. 5–11.</w:t>
      </w:r>
    </w:p>
    <w:sectPr w:rsidR="00313D00" w:rsidRPr="00313D00" w:rsidSect="00701430">
      <w:headerReference w:type="even" r:id="rId34"/>
      <w:headerReference w:type="default" r:id="rId35"/>
      <w:pgSz w:w="11906" w:h="16838"/>
      <w:pgMar w:top="1134" w:right="1134" w:bottom="1134" w:left="1134"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E9D09A" w14:textId="77777777" w:rsidR="001B3CF0" w:rsidRDefault="001B3CF0" w:rsidP="00701430">
      <w:pPr>
        <w:spacing w:line="240" w:lineRule="auto"/>
      </w:pPr>
      <w:r>
        <w:separator/>
      </w:r>
    </w:p>
  </w:endnote>
  <w:endnote w:type="continuationSeparator" w:id="0">
    <w:p w14:paraId="1545B3D1" w14:textId="77777777" w:rsidR="001B3CF0" w:rsidRDefault="001B3CF0" w:rsidP="007014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ppleSystemUIFont">
    <w:altName w:val="Calibri"/>
    <w:charset w:val="00"/>
    <w:family w:val="auto"/>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E45805" w14:textId="77777777" w:rsidR="001B3CF0" w:rsidRDefault="001B3CF0" w:rsidP="00701430">
      <w:pPr>
        <w:spacing w:line="240" w:lineRule="auto"/>
      </w:pPr>
      <w:r>
        <w:separator/>
      </w:r>
    </w:p>
  </w:footnote>
  <w:footnote w:type="continuationSeparator" w:id="0">
    <w:p w14:paraId="29198235" w14:textId="77777777" w:rsidR="001B3CF0" w:rsidRDefault="001B3CF0" w:rsidP="0070143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a"/>
      </w:rPr>
      <w:id w:val="2039151342"/>
      <w:docPartObj>
        <w:docPartGallery w:val="Page Numbers (Top of Page)"/>
        <w:docPartUnique/>
      </w:docPartObj>
    </w:sdtPr>
    <w:sdtEndPr>
      <w:rPr>
        <w:rStyle w:val="aa"/>
      </w:rPr>
    </w:sdtEndPr>
    <w:sdtContent>
      <w:p w14:paraId="3D959941" w14:textId="3DA34CC8" w:rsidR="00701430" w:rsidRDefault="00701430" w:rsidP="00701430">
        <w:pPr>
          <w:pStyle w:val="a8"/>
          <w:framePr w:wrap="none" w:vAnchor="text" w:hAnchor="margin" w:xAlign="right" w:y="1"/>
          <w:rPr>
            <w:rStyle w:val="aa"/>
          </w:rPr>
        </w:pPr>
        <w:r>
          <w:rPr>
            <w:rStyle w:val="aa"/>
          </w:rPr>
          <w:fldChar w:fldCharType="begin"/>
        </w:r>
        <w:r>
          <w:rPr>
            <w:rStyle w:val="aa"/>
          </w:rPr>
          <w:instrText xml:space="preserve"> PAGE </w:instrText>
        </w:r>
        <w:r>
          <w:rPr>
            <w:rStyle w:val="aa"/>
          </w:rPr>
          <w:fldChar w:fldCharType="end"/>
        </w:r>
      </w:p>
    </w:sdtContent>
  </w:sdt>
  <w:p w14:paraId="68707717" w14:textId="77777777" w:rsidR="00701430" w:rsidRDefault="00701430" w:rsidP="00701430">
    <w:pPr>
      <w:pStyle w:val="a8"/>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a"/>
      </w:rPr>
      <w:id w:val="109092379"/>
      <w:docPartObj>
        <w:docPartGallery w:val="Page Numbers (Top of Page)"/>
        <w:docPartUnique/>
      </w:docPartObj>
    </w:sdtPr>
    <w:sdtEndPr>
      <w:rPr>
        <w:rStyle w:val="aa"/>
      </w:rPr>
    </w:sdtEndPr>
    <w:sdtContent>
      <w:p w14:paraId="50B15CEC" w14:textId="5743B82A" w:rsidR="00701430" w:rsidRDefault="00701430" w:rsidP="00701430">
        <w:pPr>
          <w:pStyle w:val="a8"/>
          <w:framePr w:wrap="none" w:vAnchor="text" w:hAnchor="margin" w:xAlign="right" w:y="1"/>
          <w:rPr>
            <w:rStyle w:val="aa"/>
          </w:rPr>
        </w:pPr>
        <w:r>
          <w:rPr>
            <w:rStyle w:val="aa"/>
          </w:rPr>
          <w:fldChar w:fldCharType="begin"/>
        </w:r>
        <w:r>
          <w:rPr>
            <w:rStyle w:val="aa"/>
          </w:rPr>
          <w:instrText xml:space="preserve"> PAGE </w:instrText>
        </w:r>
        <w:r>
          <w:rPr>
            <w:rStyle w:val="aa"/>
          </w:rPr>
          <w:fldChar w:fldCharType="separate"/>
        </w:r>
        <w:r>
          <w:rPr>
            <w:rStyle w:val="aa"/>
            <w:noProof/>
          </w:rPr>
          <w:t>1</w:t>
        </w:r>
        <w:r>
          <w:rPr>
            <w:rStyle w:val="aa"/>
          </w:rPr>
          <w:fldChar w:fldCharType="end"/>
        </w:r>
      </w:p>
    </w:sdtContent>
  </w:sdt>
  <w:p w14:paraId="20C8C16E" w14:textId="77777777" w:rsidR="00701430" w:rsidRDefault="00701430" w:rsidP="00701430">
    <w:pPr>
      <w:pStyle w:val="a8"/>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91484"/>
    <w:multiLevelType w:val="hybridMultilevel"/>
    <w:tmpl w:val="A6E40A8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5966319"/>
    <w:multiLevelType w:val="hybridMultilevel"/>
    <w:tmpl w:val="EB0A8994"/>
    <w:lvl w:ilvl="0" w:tplc="0419000F">
      <w:start w:val="1"/>
      <w:numFmt w:val="decimal"/>
      <w:lvlText w:val="%1."/>
      <w:lvlJc w:val="left"/>
      <w:pPr>
        <w:ind w:left="1400" w:hanging="360"/>
      </w:pPr>
    </w:lvl>
    <w:lvl w:ilvl="1" w:tplc="04190019" w:tentative="1">
      <w:start w:val="1"/>
      <w:numFmt w:val="lowerLetter"/>
      <w:lvlText w:val="%2."/>
      <w:lvlJc w:val="left"/>
      <w:pPr>
        <w:ind w:left="2120" w:hanging="360"/>
      </w:pPr>
    </w:lvl>
    <w:lvl w:ilvl="2" w:tplc="0419001B" w:tentative="1">
      <w:start w:val="1"/>
      <w:numFmt w:val="lowerRoman"/>
      <w:lvlText w:val="%3."/>
      <w:lvlJc w:val="right"/>
      <w:pPr>
        <w:ind w:left="2840" w:hanging="180"/>
      </w:pPr>
    </w:lvl>
    <w:lvl w:ilvl="3" w:tplc="0419000F" w:tentative="1">
      <w:start w:val="1"/>
      <w:numFmt w:val="decimal"/>
      <w:lvlText w:val="%4."/>
      <w:lvlJc w:val="left"/>
      <w:pPr>
        <w:ind w:left="3560" w:hanging="360"/>
      </w:pPr>
    </w:lvl>
    <w:lvl w:ilvl="4" w:tplc="04190019" w:tentative="1">
      <w:start w:val="1"/>
      <w:numFmt w:val="lowerLetter"/>
      <w:lvlText w:val="%5."/>
      <w:lvlJc w:val="left"/>
      <w:pPr>
        <w:ind w:left="4280" w:hanging="360"/>
      </w:pPr>
    </w:lvl>
    <w:lvl w:ilvl="5" w:tplc="0419001B" w:tentative="1">
      <w:start w:val="1"/>
      <w:numFmt w:val="lowerRoman"/>
      <w:lvlText w:val="%6."/>
      <w:lvlJc w:val="right"/>
      <w:pPr>
        <w:ind w:left="5000" w:hanging="180"/>
      </w:pPr>
    </w:lvl>
    <w:lvl w:ilvl="6" w:tplc="0419000F" w:tentative="1">
      <w:start w:val="1"/>
      <w:numFmt w:val="decimal"/>
      <w:lvlText w:val="%7."/>
      <w:lvlJc w:val="left"/>
      <w:pPr>
        <w:ind w:left="5720" w:hanging="360"/>
      </w:pPr>
    </w:lvl>
    <w:lvl w:ilvl="7" w:tplc="04190019" w:tentative="1">
      <w:start w:val="1"/>
      <w:numFmt w:val="lowerLetter"/>
      <w:lvlText w:val="%8."/>
      <w:lvlJc w:val="left"/>
      <w:pPr>
        <w:ind w:left="6440" w:hanging="360"/>
      </w:pPr>
    </w:lvl>
    <w:lvl w:ilvl="8" w:tplc="0419001B" w:tentative="1">
      <w:start w:val="1"/>
      <w:numFmt w:val="lowerRoman"/>
      <w:lvlText w:val="%9."/>
      <w:lvlJc w:val="right"/>
      <w:pPr>
        <w:ind w:left="7160" w:hanging="180"/>
      </w:pPr>
    </w:lvl>
  </w:abstractNum>
  <w:abstractNum w:abstractNumId="2" w15:restartNumberingAfterBreak="0">
    <w:nsid w:val="3017176F"/>
    <w:multiLevelType w:val="multilevel"/>
    <w:tmpl w:val="815AE5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7BE3DE6"/>
    <w:multiLevelType w:val="hybridMultilevel"/>
    <w:tmpl w:val="C6240C1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18257AC"/>
    <w:multiLevelType w:val="multilevel"/>
    <w:tmpl w:val="47668D76"/>
    <w:lvl w:ilvl="0">
      <w:start w:val="1"/>
      <w:numFmt w:val="decimal"/>
      <w:lvlText w:val="%1."/>
      <w:lvlJc w:val="left"/>
      <w:pPr>
        <w:ind w:left="492" w:hanging="49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43C92856"/>
    <w:multiLevelType w:val="hybridMultilevel"/>
    <w:tmpl w:val="6CB8388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CFA64CB"/>
    <w:multiLevelType w:val="multilevel"/>
    <w:tmpl w:val="F63CE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E133A5A"/>
    <w:multiLevelType w:val="hybridMultilevel"/>
    <w:tmpl w:val="5E5424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FA53552"/>
    <w:multiLevelType w:val="hybridMultilevel"/>
    <w:tmpl w:val="B2088A98"/>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7"/>
  </w:num>
  <w:num w:numId="4">
    <w:abstractNumId w:val="5"/>
  </w:num>
  <w:num w:numId="5">
    <w:abstractNumId w:val="3"/>
  </w:num>
  <w:num w:numId="6">
    <w:abstractNumId w:val="0"/>
  </w:num>
  <w:num w:numId="7">
    <w:abstractNumId w:val="2"/>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206"/>
    <w:rsid w:val="0007270F"/>
    <w:rsid w:val="00082077"/>
    <w:rsid w:val="000A5283"/>
    <w:rsid w:val="0012394F"/>
    <w:rsid w:val="00137206"/>
    <w:rsid w:val="001B3CF0"/>
    <w:rsid w:val="0020503B"/>
    <w:rsid w:val="002122D2"/>
    <w:rsid w:val="00220A86"/>
    <w:rsid w:val="0025289D"/>
    <w:rsid w:val="00303D0F"/>
    <w:rsid w:val="00313D00"/>
    <w:rsid w:val="00333659"/>
    <w:rsid w:val="003350C8"/>
    <w:rsid w:val="003612A5"/>
    <w:rsid w:val="0036226D"/>
    <w:rsid w:val="003758DA"/>
    <w:rsid w:val="003D756C"/>
    <w:rsid w:val="003F26FE"/>
    <w:rsid w:val="00432EC0"/>
    <w:rsid w:val="00435753"/>
    <w:rsid w:val="0044471F"/>
    <w:rsid w:val="004941A0"/>
    <w:rsid w:val="004E0E17"/>
    <w:rsid w:val="00502858"/>
    <w:rsid w:val="005649FF"/>
    <w:rsid w:val="00580D96"/>
    <w:rsid w:val="00592405"/>
    <w:rsid w:val="006533B3"/>
    <w:rsid w:val="006F4DFB"/>
    <w:rsid w:val="00701430"/>
    <w:rsid w:val="00735C8D"/>
    <w:rsid w:val="00794D8A"/>
    <w:rsid w:val="00863496"/>
    <w:rsid w:val="00892D57"/>
    <w:rsid w:val="008E0674"/>
    <w:rsid w:val="009B6EC0"/>
    <w:rsid w:val="009C1202"/>
    <w:rsid w:val="009D4382"/>
    <w:rsid w:val="009F181F"/>
    <w:rsid w:val="00A40E4A"/>
    <w:rsid w:val="00A71709"/>
    <w:rsid w:val="00AE5AAF"/>
    <w:rsid w:val="00BB46B7"/>
    <w:rsid w:val="00BE5DF5"/>
    <w:rsid w:val="00C1552A"/>
    <w:rsid w:val="00C42B39"/>
    <w:rsid w:val="00C94022"/>
    <w:rsid w:val="00CC1DF1"/>
    <w:rsid w:val="00CE22B8"/>
    <w:rsid w:val="00D017ED"/>
    <w:rsid w:val="00D16CA4"/>
    <w:rsid w:val="00D90BB6"/>
    <w:rsid w:val="00DB346E"/>
    <w:rsid w:val="00DC6D82"/>
    <w:rsid w:val="00E64AFC"/>
    <w:rsid w:val="00E865ED"/>
    <w:rsid w:val="00EE65B0"/>
    <w:rsid w:val="00F65899"/>
    <w:rsid w:val="00F71FFF"/>
    <w:rsid w:val="00F75F19"/>
    <w:rsid w:val="00FA3218"/>
    <w:rsid w:val="00FB2E16"/>
    <w:rsid w:val="00FD29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FE1024"/>
  <w15:chartTrackingRefBased/>
  <w15:docId w15:val="{EC438A33-DB31-452E-8D9E-449536CF1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ru-RU" w:eastAsia="en-US" w:bidi="ar-SA"/>
      </w:rPr>
    </w:rPrDefault>
    <w:pPrDefault>
      <w:pPr>
        <w:spacing w:line="360" w:lineRule="auto"/>
        <w:jc w:val="righ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533B3"/>
    <w:pPr>
      <w:keepNext/>
      <w:keepLines/>
      <w:spacing w:before="240" w:line="480" w:lineRule="auto"/>
      <w:jc w:val="center"/>
      <w:outlineLvl w:val="0"/>
    </w:pPr>
    <w:rPr>
      <w:rFonts w:eastAsiaTheme="majorEastAsia" w:cstheme="majorBidi"/>
      <w:b/>
      <w:color w:val="000000" w:themeColor="text1"/>
      <w:szCs w:val="32"/>
    </w:rPr>
  </w:style>
  <w:style w:type="paragraph" w:styleId="2">
    <w:name w:val="heading 2"/>
    <w:basedOn w:val="a"/>
    <w:next w:val="a"/>
    <w:link w:val="20"/>
    <w:uiPriority w:val="9"/>
    <w:unhideWhenUsed/>
    <w:qFormat/>
    <w:rsid w:val="0012394F"/>
    <w:pPr>
      <w:keepNext/>
      <w:keepLines/>
      <w:spacing w:before="40" w:line="480" w:lineRule="auto"/>
      <w:jc w:val="both"/>
      <w:outlineLvl w:val="1"/>
    </w:pPr>
    <w:rPr>
      <w:rFonts w:eastAsiaTheme="majorEastAsia" w:cstheme="majorBidi"/>
      <w:b/>
      <w:color w:val="000000" w:themeColor="text1"/>
      <w:szCs w:val="26"/>
    </w:rPr>
  </w:style>
  <w:style w:type="paragraph" w:styleId="3">
    <w:name w:val="heading 3"/>
    <w:basedOn w:val="a"/>
    <w:next w:val="a"/>
    <w:link w:val="30"/>
    <w:uiPriority w:val="9"/>
    <w:semiHidden/>
    <w:unhideWhenUsed/>
    <w:qFormat/>
    <w:rsid w:val="00794D8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uiPriority w:val="9"/>
    <w:semiHidden/>
    <w:unhideWhenUsed/>
    <w:qFormat/>
    <w:rsid w:val="00794D8A"/>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533B3"/>
    <w:rPr>
      <w:rFonts w:eastAsiaTheme="majorEastAsia" w:cstheme="majorBidi"/>
      <w:b/>
      <w:color w:val="000000" w:themeColor="text1"/>
      <w:szCs w:val="32"/>
    </w:rPr>
  </w:style>
  <w:style w:type="paragraph" w:styleId="a3">
    <w:name w:val="TOC Heading"/>
    <w:basedOn w:val="1"/>
    <w:next w:val="a"/>
    <w:uiPriority w:val="39"/>
    <w:unhideWhenUsed/>
    <w:qFormat/>
    <w:rsid w:val="003F26FE"/>
    <w:pPr>
      <w:spacing w:line="259" w:lineRule="auto"/>
      <w:jc w:val="left"/>
      <w:outlineLvl w:val="9"/>
    </w:pPr>
    <w:rPr>
      <w:lang w:eastAsia="ru-RU"/>
    </w:rPr>
  </w:style>
  <w:style w:type="paragraph" w:styleId="11">
    <w:name w:val="toc 1"/>
    <w:basedOn w:val="a"/>
    <w:next w:val="a"/>
    <w:autoRedefine/>
    <w:uiPriority w:val="39"/>
    <w:unhideWhenUsed/>
    <w:rsid w:val="003F26FE"/>
    <w:pPr>
      <w:spacing w:after="100"/>
    </w:pPr>
  </w:style>
  <w:style w:type="character" w:styleId="a4">
    <w:name w:val="Hyperlink"/>
    <w:basedOn w:val="a0"/>
    <w:uiPriority w:val="99"/>
    <w:unhideWhenUsed/>
    <w:rsid w:val="003F26FE"/>
    <w:rPr>
      <w:color w:val="0563C1" w:themeColor="hyperlink"/>
      <w:u w:val="single"/>
    </w:rPr>
  </w:style>
  <w:style w:type="paragraph" w:styleId="a5">
    <w:name w:val="List Paragraph"/>
    <w:basedOn w:val="a"/>
    <w:uiPriority w:val="34"/>
    <w:qFormat/>
    <w:rsid w:val="003350C8"/>
    <w:pPr>
      <w:ind w:left="720"/>
      <w:contextualSpacing/>
    </w:pPr>
  </w:style>
  <w:style w:type="character" w:customStyle="1" w:styleId="20">
    <w:name w:val="Заголовок 2 Знак"/>
    <w:basedOn w:val="a0"/>
    <w:link w:val="2"/>
    <w:uiPriority w:val="9"/>
    <w:rsid w:val="0012394F"/>
    <w:rPr>
      <w:rFonts w:eastAsiaTheme="majorEastAsia" w:cstheme="majorBidi"/>
      <w:b/>
      <w:color w:val="000000" w:themeColor="text1"/>
      <w:szCs w:val="26"/>
    </w:rPr>
  </w:style>
  <w:style w:type="paragraph" w:styleId="21">
    <w:name w:val="toc 2"/>
    <w:basedOn w:val="a"/>
    <w:next w:val="a"/>
    <w:autoRedefine/>
    <w:uiPriority w:val="39"/>
    <w:unhideWhenUsed/>
    <w:rsid w:val="00502858"/>
    <w:pPr>
      <w:spacing w:after="100"/>
      <w:ind w:left="280"/>
    </w:pPr>
  </w:style>
  <w:style w:type="character" w:customStyle="1" w:styleId="30">
    <w:name w:val="Заголовок 3 Знак"/>
    <w:basedOn w:val="a0"/>
    <w:link w:val="3"/>
    <w:uiPriority w:val="9"/>
    <w:semiHidden/>
    <w:rsid w:val="00794D8A"/>
    <w:rPr>
      <w:rFonts w:asciiTheme="majorHAnsi" w:eastAsiaTheme="majorEastAsia" w:hAnsiTheme="majorHAnsi" w:cstheme="majorBidi"/>
      <w:color w:val="1F3763" w:themeColor="accent1" w:themeShade="7F"/>
      <w:sz w:val="24"/>
      <w:szCs w:val="24"/>
    </w:rPr>
  </w:style>
  <w:style w:type="character" w:customStyle="1" w:styleId="40">
    <w:name w:val="Заголовок 4 Знак"/>
    <w:basedOn w:val="a0"/>
    <w:link w:val="4"/>
    <w:uiPriority w:val="9"/>
    <w:semiHidden/>
    <w:rsid w:val="00794D8A"/>
    <w:rPr>
      <w:rFonts w:asciiTheme="majorHAnsi" w:eastAsiaTheme="majorEastAsia" w:hAnsiTheme="majorHAnsi" w:cstheme="majorBidi"/>
      <w:i/>
      <w:iCs/>
      <w:color w:val="2F5496" w:themeColor="accent1" w:themeShade="BF"/>
    </w:rPr>
  </w:style>
  <w:style w:type="character" w:styleId="a6">
    <w:name w:val="Strong"/>
    <w:basedOn w:val="a0"/>
    <w:uiPriority w:val="22"/>
    <w:qFormat/>
    <w:rsid w:val="00082077"/>
    <w:rPr>
      <w:b/>
      <w:bCs/>
    </w:rPr>
  </w:style>
  <w:style w:type="paragraph" w:customStyle="1" w:styleId="whitespace-normal">
    <w:name w:val="whitespace-normal"/>
    <w:basedOn w:val="a"/>
    <w:rsid w:val="006533B3"/>
    <w:pPr>
      <w:spacing w:before="100" w:beforeAutospacing="1" w:after="100" w:afterAutospacing="1" w:line="240" w:lineRule="auto"/>
      <w:jc w:val="left"/>
    </w:pPr>
    <w:rPr>
      <w:rFonts w:eastAsia="Times New Roman" w:cs="Times New Roman"/>
      <w:sz w:val="24"/>
      <w:szCs w:val="24"/>
    </w:rPr>
  </w:style>
  <w:style w:type="table" w:styleId="a7">
    <w:name w:val="Table Grid"/>
    <w:basedOn w:val="a1"/>
    <w:uiPriority w:val="39"/>
    <w:rsid w:val="0012394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hitespace-pre-wrap">
    <w:name w:val="whitespace-pre-wrap"/>
    <w:basedOn w:val="a"/>
    <w:rsid w:val="00C1552A"/>
    <w:pPr>
      <w:spacing w:before="100" w:beforeAutospacing="1" w:after="100" w:afterAutospacing="1" w:line="240" w:lineRule="auto"/>
      <w:jc w:val="left"/>
    </w:pPr>
    <w:rPr>
      <w:rFonts w:eastAsia="Times New Roman" w:cs="Times New Roman"/>
      <w:sz w:val="24"/>
      <w:szCs w:val="24"/>
    </w:rPr>
  </w:style>
  <w:style w:type="paragraph" w:styleId="a8">
    <w:name w:val="header"/>
    <w:basedOn w:val="a"/>
    <w:link w:val="a9"/>
    <w:uiPriority w:val="99"/>
    <w:unhideWhenUsed/>
    <w:rsid w:val="00701430"/>
    <w:pPr>
      <w:tabs>
        <w:tab w:val="center" w:pos="4680"/>
        <w:tab w:val="right" w:pos="9360"/>
      </w:tabs>
      <w:spacing w:line="240" w:lineRule="auto"/>
    </w:pPr>
  </w:style>
  <w:style w:type="character" w:customStyle="1" w:styleId="a9">
    <w:name w:val="Верхній колонтитул Знак"/>
    <w:basedOn w:val="a0"/>
    <w:link w:val="a8"/>
    <w:uiPriority w:val="99"/>
    <w:rsid w:val="00701430"/>
  </w:style>
  <w:style w:type="character" w:styleId="aa">
    <w:name w:val="page number"/>
    <w:basedOn w:val="a0"/>
    <w:uiPriority w:val="99"/>
    <w:semiHidden/>
    <w:unhideWhenUsed/>
    <w:rsid w:val="007014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92858">
      <w:bodyDiv w:val="1"/>
      <w:marLeft w:val="0"/>
      <w:marRight w:val="0"/>
      <w:marTop w:val="0"/>
      <w:marBottom w:val="0"/>
      <w:divBdr>
        <w:top w:val="none" w:sz="0" w:space="0" w:color="auto"/>
        <w:left w:val="none" w:sz="0" w:space="0" w:color="auto"/>
        <w:bottom w:val="none" w:sz="0" w:space="0" w:color="auto"/>
        <w:right w:val="none" w:sz="0" w:space="0" w:color="auto"/>
      </w:divBdr>
    </w:div>
    <w:div w:id="621418991">
      <w:bodyDiv w:val="1"/>
      <w:marLeft w:val="0"/>
      <w:marRight w:val="0"/>
      <w:marTop w:val="0"/>
      <w:marBottom w:val="0"/>
      <w:divBdr>
        <w:top w:val="none" w:sz="0" w:space="0" w:color="auto"/>
        <w:left w:val="none" w:sz="0" w:space="0" w:color="auto"/>
        <w:bottom w:val="none" w:sz="0" w:space="0" w:color="auto"/>
        <w:right w:val="none" w:sz="0" w:space="0" w:color="auto"/>
      </w:divBdr>
    </w:div>
    <w:div w:id="851184241">
      <w:bodyDiv w:val="1"/>
      <w:marLeft w:val="0"/>
      <w:marRight w:val="0"/>
      <w:marTop w:val="0"/>
      <w:marBottom w:val="0"/>
      <w:divBdr>
        <w:top w:val="none" w:sz="0" w:space="0" w:color="auto"/>
        <w:left w:val="none" w:sz="0" w:space="0" w:color="auto"/>
        <w:bottom w:val="none" w:sz="0" w:space="0" w:color="auto"/>
        <w:right w:val="none" w:sz="0" w:space="0" w:color="auto"/>
      </w:divBdr>
    </w:div>
    <w:div w:id="975992749">
      <w:bodyDiv w:val="1"/>
      <w:marLeft w:val="0"/>
      <w:marRight w:val="0"/>
      <w:marTop w:val="0"/>
      <w:marBottom w:val="0"/>
      <w:divBdr>
        <w:top w:val="none" w:sz="0" w:space="0" w:color="auto"/>
        <w:left w:val="none" w:sz="0" w:space="0" w:color="auto"/>
        <w:bottom w:val="none" w:sz="0" w:space="0" w:color="auto"/>
        <w:right w:val="none" w:sz="0" w:space="0" w:color="auto"/>
      </w:divBdr>
    </w:div>
    <w:div w:id="1106997120">
      <w:bodyDiv w:val="1"/>
      <w:marLeft w:val="0"/>
      <w:marRight w:val="0"/>
      <w:marTop w:val="0"/>
      <w:marBottom w:val="0"/>
      <w:divBdr>
        <w:top w:val="none" w:sz="0" w:space="0" w:color="auto"/>
        <w:left w:val="none" w:sz="0" w:space="0" w:color="auto"/>
        <w:bottom w:val="none" w:sz="0" w:space="0" w:color="auto"/>
        <w:right w:val="none" w:sz="0" w:space="0" w:color="auto"/>
      </w:divBdr>
    </w:div>
    <w:div w:id="1174295047">
      <w:bodyDiv w:val="1"/>
      <w:marLeft w:val="0"/>
      <w:marRight w:val="0"/>
      <w:marTop w:val="0"/>
      <w:marBottom w:val="0"/>
      <w:divBdr>
        <w:top w:val="none" w:sz="0" w:space="0" w:color="auto"/>
        <w:left w:val="none" w:sz="0" w:space="0" w:color="auto"/>
        <w:bottom w:val="none" w:sz="0" w:space="0" w:color="auto"/>
        <w:right w:val="none" w:sz="0" w:space="0" w:color="auto"/>
      </w:divBdr>
    </w:div>
    <w:div w:id="1181773026">
      <w:bodyDiv w:val="1"/>
      <w:marLeft w:val="0"/>
      <w:marRight w:val="0"/>
      <w:marTop w:val="0"/>
      <w:marBottom w:val="0"/>
      <w:divBdr>
        <w:top w:val="none" w:sz="0" w:space="0" w:color="auto"/>
        <w:left w:val="none" w:sz="0" w:space="0" w:color="auto"/>
        <w:bottom w:val="none" w:sz="0" w:space="0" w:color="auto"/>
        <w:right w:val="none" w:sz="0" w:space="0" w:color="auto"/>
      </w:divBdr>
    </w:div>
    <w:div w:id="1496919773">
      <w:bodyDiv w:val="1"/>
      <w:marLeft w:val="0"/>
      <w:marRight w:val="0"/>
      <w:marTop w:val="0"/>
      <w:marBottom w:val="0"/>
      <w:divBdr>
        <w:top w:val="none" w:sz="0" w:space="0" w:color="auto"/>
        <w:left w:val="none" w:sz="0" w:space="0" w:color="auto"/>
        <w:bottom w:val="none" w:sz="0" w:space="0" w:color="auto"/>
        <w:right w:val="none" w:sz="0" w:space="0" w:color="auto"/>
      </w:divBdr>
      <w:divsChild>
        <w:div w:id="357241918">
          <w:marLeft w:val="0"/>
          <w:marRight w:val="0"/>
          <w:marTop w:val="0"/>
          <w:marBottom w:val="0"/>
          <w:divBdr>
            <w:top w:val="single" w:sz="2" w:space="0" w:color="auto"/>
            <w:left w:val="single" w:sz="2" w:space="0" w:color="auto"/>
            <w:bottom w:val="single" w:sz="2" w:space="0" w:color="auto"/>
            <w:right w:val="single" w:sz="2" w:space="0" w:color="auto"/>
          </w:divBdr>
          <w:divsChild>
            <w:div w:id="785809134">
              <w:marLeft w:val="0"/>
              <w:marRight w:val="0"/>
              <w:marTop w:val="0"/>
              <w:marBottom w:val="0"/>
              <w:divBdr>
                <w:top w:val="single" w:sz="2" w:space="0" w:color="auto"/>
                <w:left w:val="single" w:sz="2" w:space="0" w:color="auto"/>
                <w:bottom w:val="single" w:sz="2" w:space="0" w:color="auto"/>
                <w:right w:val="single" w:sz="2" w:space="0" w:color="auto"/>
              </w:divBdr>
              <w:divsChild>
                <w:div w:id="124275231">
                  <w:marLeft w:val="0"/>
                  <w:marRight w:val="0"/>
                  <w:marTop w:val="0"/>
                  <w:marBottom w:val="0"/>
                  <w:divBdr>
                    <w:top w:val="single" w:sz="2" w:space="0" w:color="auto"/>
                    <w:left w:val="single" w:sz="2" w:space="0" w:color="auto"/>
                    <w:bottom w:val="single" w:sz="2" w:space="0" w:color="auto"/>
                    <w:right w:val="single" w:sz="2" w:space="0" w:color="auto"/>
                  </w:divBdr>
                  <w:divsChild>
                    <w:div w:id="1628193210">
                      <w:marLeft w:val="0"/>
                      <w:marRight w:val="0"/>
                      <w:marTop w:val="0"/>
                      <w:marBottom w:val="0"/>
                      <w:divBdr>
                        <w:top w:val="single" w:sz="2" w:space="0" w:color="auto"/>
                        <w:left w:val="single" w:sz="2" w:space="0" w:color="auto"/>
                        <w:bottom w:val="single" w:sz="2" w:space="0" w:color="auto"/>
                        <w:right w:val="single" w:sz="2" w:space="0" w:color="auto"/>
                      </w:divBdr>
                      <w:divsChild>
                        <w:div w:id="1608731013">
                          <w:marLeft w:val="0"/>
                          <w:marRight w:val="0"/>
                          <w:marTop w:val="0"/>
                          <w:marBottom w:val="0"/>
                          <w:divBdr>
                            <w:top w:val="single" w:sz="2" w:space="0" w:color="auto"/>
                            <w:left w:val="single" w:sz="2" w:space="0" w:color="auto"/>
                            <w:bottom w:val="single" w:sz="2" w:space="0" w:color="auto"/>
                            <w:right w:val="single" w:sz="2" w:space="0" w:color="auto"/>
                          </w:divBdr>
                          <w:divsChild>
                            <w:div w:id="2139909557">
                              <w:marLeft w:val="0"/>
                              <w:marRight w:val="0"/>
                              <w:marTop w:val="0"/>
                              <w:marBottom w:val="0"/>
                              <w:divBdr>
                                <w:top w:val="single" w:sz="2" w:space="0" w:color="auto"/>
                                <w:left w:val="single" w:sz="2" w:space="0" w:color="auto"/>
                                <w:bottom w:val="single" w:sz="2" w:space="0" w:color="auto"/>
                                <w:right w:val="single" w:sz="2" w:space="0" w:color="auto"/>
                              </w:divBdr>
                              <w:divsChild>
                                <w:div w:id="172637477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135023778">
                          <w:marLeft w:val="0"/>
                          <w:marRight w:val="0"/>
                          <w:marTop w:val="0"/>
                          <w:marBottom w:val="0"/>
                          <w:divBdr>
                            <w:top w:val="single" w:sz="2" w:space="0" w:color="auto"/>
                            <w:left w:val="single" w:sz="2" w:space="0" w:color="auto"/>
                            <w:bottom w:val="single" w:sz="2" w:space="0" w:color="auto"/>
                            <w:right w:val="single" w:sz="2" w:space="0" w:color="auto"/>
                          </w:divBdr>
                          <w:divsChild>
                            <w:div w:id="2111046941">
                              <w:marLeft w:val="0"/>
                              <w:marRight w:val="0"/>
                              <w:marTop w:val="0"/>
                              <w:marBottom w:val="0"/>
                              <w:divBdr>
                                <w:top w:val="single" w:sz="2" w:space="0" w:color="auto"/>
                                <w:left w:val="single" w:sz="2" w:space="0" w:color="auto"/>
                                <w:bottom w:val="single" w:sz="2" w:space="0" w:color="auto"/>
                                <w:right w:val="single" w:sz="2" w:space="0" w:color="auto"/>
                              </w:divBdr>
                              <w:divsChild>
                                <w:div w:id="2040083059">
                                  <w:marLeft w:val="0"/>
                                  <w:marRight w:val="0"/>
                                  <w:marTop w:val="0"/>
                                  <w:marBottom w:val="0"/>
                                  <w:divBdr>
                                    <w:top w:val="single" w:sz="2" w:space="0" w:color="auto"/>
                                    <w:left w:val="single" w:sz="2" w:space="0" w:color="auto"/>
                                    <w:bottom w:val="single" w:sz="2" w:space="0" w:color="auto"/>
                                    <w:right w:val="single" w:sz="2" w:space="0" w:color="auto"/>
                                  </w:divBdr>
                                  <w:divsChild>
                                    <w:div w:id="46939792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327781988">
              <w:marLeft w:val="0"/>
              <w:marRight w:val="0"/>
              <w:marTop w:val="0"/>
              <w:marBottom w:val="0"/>
              <w:divBdr>
                <w:top w:val="single" w:sz="2" w:space="0" w:color="auto"/>
                <w:left w:val="single" w:sz="2" w:space="0" w:color="auto"/>
                <w:bottom w:val="single" w:sz="2" w:space="0" w:color="auto"/>
                <w:right w:val="single" w:sz="2" w:space="0" w:color="auto"/>
              </w:divBdr>
              <w:divsChild>
                <w:div w:id="2055424788">
                  <w:marLeft w:val="0"/>
                  <w:marRight w:val="0"/>
                  <w:marTop w:val="0"/>
                  <w:marBottom w:val="0"/>
                  <w:divBdr>
                    <w:top w:val="single" w:sz="2" w:space="0" w:color="auto"/>
                    <w:left w:val="single" w:sz="2" w:space="0" w:color="auto"/>
                    <w:bottom w:val="single" w:sz="2" w:space="0" w:color="auto"/>
                    <w:right w:val="single" w:sz="2" w:space="0" w:color="auto"/>
                  </w:divBdr>
                  <w:divsChild>
                    <w:div w:id="39000682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693387294">
          <w:marLeft w:val="0"/>
          <w:marRight w:val="0"/>
          <w:marTop w:val="0"/>
          <w:marBottom w:val="0"/>
          <w:divBdr>
            <w:top w:val="single" w:sz="2" w:space="0" w:color="auto"/>
            <w:left w:val="single" w:sz="2" w:space="0" w:color="auto"/>
            <w:bottom w:val="single" w:sz="2" w:space="0" w:color="auto"/>
            <w:right w:val="single" w:sz="2" w:space="0" w:color="auto"/>
          </w:divBdr>
        </w:div>
      </w:divsChild>
    </w:div>
    <w:div w:id="1684163274">
      <w:bodyDiv w:val="1"/>
      <w:marLeft w:val="0"/>
      <w:marRight w:val="0"/>
      <w:marTop w:val="0"/>
      <w:marBottom w:val="0"/>
      <w:divBdr>
        <w:top w:val="none" w:sz="0" w:space="0" w:color="auto"/>
        <w:left w:val="none" w:sz="0" w:space="0" w:color="auto"/>
        <w:bottom w:val="none" w:sz="0" w:space="0" w:color="auto"/>
        <w:right w:val="none" w:sz="0" w:space="0" w:color="auto"/>
      </w:divBdr>
    </w:div>
    <w:div w:id="1831482135">
      <w:bodyDiv w:val="1"/>
      <w:marLeft w:val="0"/>
      <w:marRight w:val="0"/>
      <w:marTop w:val="0"/>
      <w:marBottom w:val="0"/>
      <w:divBdr>
        <w:top w:val="none" w:sz="0" w:space="0" w:color="auto"/>
        <w:left w:val="none" w:sz="0" w:space="0" w:color="auto"/>
        <w:bottom w:val="none" w:sz="0" w:space="0" w:color="auto"/>
        <w:right w:val="none" w:sz="0" w:space="0" w:color="auto"/>
      </w:divBdr>
    </w:div>
    <w:div w:id="1936552625">
      <w:bodyDiv w:val="1"/>
      <w:marLeft w:val="0"/>
      <w:marRight w:val="0"/>
      <w:marTop w:val="0"/>
      <w:marBottom w:val="0"/>
      <w:divBdr>
        <w:top w:val="none" w:sz="0" w:space="0" w:color="auto"/>
        <w:left w:val="none" w:sz="0" w:space="0" w:color="auto"/>
        <w:bottom w:val="none" w:sz="0" w:space="0" w:color="auto"/>
        <w:right w:val="none" w:sz="0" w:space="0" w:color="auto"/>
      </w:divBdr>
    </w:div>
    <w:div w:id="2035420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iss.gov.ua/news/komentari-ekspertiv/zmitsnennya-bezpeky-krayin-baltiyi-v-konteksti-zminystratehichnoy" TargetMode="External"/><Relationship Id="rId18" Type="http://schemas.openxmlformats.org/officeDocument/2006/relationships/hyperlink" Target="https://prismua.org/wp-content/uploads/2022/12/EU_defence_ukr.pdf" TargetMode="External"/><Relationship Id="rId26" Type="http://schemas.openxmlformats.org/officeDocument/2006/relationships/hyperlink" Target="http://turkishpolicy.com/article/1149/a-compass-and-a-concept-a-guide-to-the-eu-and-nato-strategic-outlooks" TargetMode="External"/><Relationship Id="rId21" Type="http://schemas.openxmlformats.org/officeDocument/2006/relationships/hyperlink" Target="https://adastra.org.ua/blog/transformaciya-politiki-bezpeki-yes-zbilshennya-avtonomiyi-chi-zberezhennya-prioritetu-nato"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niss.gov.ua/sites/default/files/2022-12/ad-nisd-do-poslannya-prezidenta-ukraini-2022.pdf" TargetMode="External"/><Relationship Id="rId17" Type="http://schemas.openxmlformats.org/officeDocument/2006/relationships/hyperlink" Target="http://www.lsej.org.ua/index.php/arkhiv-nomeriv/2-uncategorised/135-3-2021" TargetMode="External"/><Relationship Id="rId25" Type="http://schemas.openxmlformats.org/officeDocument/2006/relationships/hyperlink" Target="https://www.iemed.org/publication/the-eus-strategic-compass-how-to-translate-it-into-capabilities/" TargetMode="External"/><Relationship Id="rId33" Type="http://schemas.openxmlformats.org/officeDocument/2006/relationships/hyperlink" Target="https://lexparency.org/eu/TEU/ART_43/" TargetMode="External"/><Relationship Id="rId2" Type="http://schemas.openxmlformats.org/officeDocument/2006/relationships/numbering" Target="numbering.xml"/><Relationship Id="rId16" Type="http://schemas.openxmlformats.org/officeDocument/2006/relationships/hyperlink" Target="https://www.nato.int/cps/uk/natohq/topics_110496.htm" TargetMode="External"/><Relationship Id="rId20" Type="http://schemas.openxmlformats.org/officeDocument/2006/relationships/hyperlink" Target="https://doi.org/10.30525/978-9934-26-223-4-79" TargetMode="External"/><Relationship Id="rId29" Type="http://schemas.openxmlformats.org/officeDocument/2006/relationships/hyperlink" Target="https://doi.org/10.1111/jcms.1352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ato.int/cps/en/natohq/news_133063.htm?selectedLocale=uk" TargetMode="External"/><Relationship Id="rId24" Type="http://schemas.openxmlformats.org/officeDocument/2006/relationships/hyperlink" Target="https://www.wilsoncenter.org/article/strategic-compass-european-union-expands-its-toolbox" TargetMode="External"/><Relationship Id="rId32" Type="http://schemas.openxmlformats.org/officeDocument/2006/relationships/hyperlink" Target="https://europa.eu/eurobarometer/surveys/detail/2180"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eurointegration.com.ua/articles/2023/04/25/7160442/" TargetMode="External"/><Relationship Id="rId23" Type="http://schemas.openxmlformats.org/officeDocument/2006/relationships/hyperlink" Target="https://www.nato.int/strategic-concept/" TargetMode="External"/><Relationship Id="rId28" Type="http://schemas.openxmlformats.org/officeDocument/2006/relationships/hyperlink" Target="https://op.europa.eu/en/publication-detail/-/publication/e3706908-db0f-11ec-a95f-01aa75ed71a1/language-en" TargetMode="External"/><Relationship Id="rId36" Type="http://schemas.openxmlformats.org/officeDocument/2006/relationships/fontTable" Target="fontTable.xml"/><Relationship Id="rId10" Type="http://schemas.openxmlformats.org/officeDocument/2006/relationships/hyperlink" Target="https://www.eurointegration.com.ua/articles/2023/02/23/7156788/" TargetMode="External"/><Relationship Id="rId19" Type="http://schemas.openxmlformats.org/officeDocument/2006/relationships/hyperlink" Target="https://www.eurointegration.com.ua/articles/2023/04/14/7159830/" TargetMode="External"/><Relationship Id="rId31" Type="http://schemas.openxmlformats.org/officeDocument/2006/relationships/hyperlink" Target="https://www.csis.org/analysis/ukraine-war-and-future-european-unions-securityand-defense-policy" TargetMode="External"/><Relationship Id="rId4" Type="http://schemas.openxmlformats.org/officeDocument/2006/relationships/settings" Target="settings.xml"/><Relationship Id="rId9" Type="http://schemas.openxmlformats.org/officeDocument/2006/relationships/hyperlink" Target="https://www.nato.int/cps/uk/natohq/topics_37750.htm" TargetMode="External"/><Relationship Id="rId14" Type="http://schemas.openxmlformats.org/officeDocument/2006/relationships/hyperlink" Target="http://baltijapublishing.lv/omp/index.php/bp/catalog/download/247/6955/14479-1?inline=1" TargetMode="External"/><Relationship Id="rId22" Type="http://schemas.openxmlformats.org/officeDocument/2006/relationships/hyperlink" Target="https://www.nato.int/cps/uk/natohq/opinions_212795.htm" TargetMode="External"/><Relationship Id="rId27" Type="http://schemas.openxmlformats.org/officeDocument/2006/relationships/hyperlink" Target="https://op.europa.eu/en/publication-detail/-/publication/e3706908-db0f-11ec-a95f-01aa75ed71a1/language-en" TargetMode="External"/><Relationship Id="rId30" Type="http://schemas.openxmlformats.org/officeDocument/2006/relationships/hyperlink" Target="https://www.martenscentre.eu/publication/strategic-autonomy-why-its-not-about-europe-going-it-alone" TargetMode="External"/><Relationship Id="rId35" Type="http://schemas.openxmlformats.org/officeDocument/2006/relationships/header" Target="header2.xml"/><Relationship Id="rId8" Type="http://schemas.openxmlformats.org/officeDocument/2006/relationships/hyperlink" Target="https://www.nato.int/docu/review/uk/articles/2022/04/04/prodovyoennya-nato-pensjnij-plan-ne-potrben/index.html"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A8C34B-19A9-468A-B30D-B7C29BD5E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66</Pages>
  <Words>79786</Words>
  <Characters>45479</Characters>
  <Application>Microsoft Office Word</Application>
  <DocSecurity>0</DocSecurity>
  <Lines>378</Lines>
  <Paragraphs>250</Paragraphs>
  <ScaleCrop>false</ScaleCrop>
  <HeadingPairs>
    <vt:vector size="6" baseType="variant">
      <vt:variant>
        <vt:lpstr>Назва</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125015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ssiiddnnii</dc:creator>
  <cp:keywords/>
  <dc:description/>
  <cp:lastModifiedBy>Lenovo</cp:lastModifiedBy>
  <cp:revision>2</cp:revision>
  <dcterms:created xsi:type="dcterms:W3CDTF">2025-05-19T14:07:00Z</dcterms:created>
  <dcterms:modified xsi:type="dcterms:W3CDTF">2025-05-19T14:07:00Z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867baf98-c895-435e-9474-22829fd4e260</vt:lpwstr>
  </property>
</Properties>
</file>