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1C3FD" w14:textId="45774732" w:rsidR="00436B67" w:rsidRPr="0040228F" w:rsidRDefault="00436B67" w:rsidP="00197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b/>
          <w:bCs/>
          <w:sz w:val="24"/>
          <w:szCs w:val="24"/>
          <w:lang w:val="uk-UA"/>
        </w:rPr>
        <w:t>Білас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Андрій Андрійович</w:t>
      </w:r>
    </w:p>
    <w:p w14:paraId="0BF31585" w14:textId="24C8AF39" w:rsidR="00341048" w:rsidRPr="0040228F" w:rsidRDefault="00341048" w:rsidP="00197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ORCID ID: 0000-0003-4359-1149</w:t>
      </w:r>
    </w:p>
    <w:p w14:paraId="7017AA49" w14:textId="698EC5E4" w:rsidR="00436B67" w:rsidRPr="0040228F" w:rsidRDefault="00436B67" w:rsidP="00197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кандидат філологічних наук, доцент кафедри французької філології</w:t>
      </w:r>
    </w:p>
    <w:p w14:paraId="4492A87A" w14:textId="179B2835" w:rsidR="00436B67" w:rsidRPr="0040228F" w:rsidRDefault="00436B67" w:rsidP="00197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Прикарпатський національний університет імені Василя Стефаника, </w:t>
      </w:r>
      <w:r w:rsidR="001F3D83" w:rsidRPr="0040228F">
        <w:rPr>
          <w:rFonts w:ascii="Times New Roman" w:hAnsi="Times New Roman" w:cs="Times New Roman"/>
          <w:sz w:val="24"/>
          <w:szCs w:val="24"/>
          <w:lang w:val="uk-UA"/>
        </w:rPr>
        <w:t>Україна</w:t>
      </w:r>
    </w:p>
    <w:p w14:paraId="366229BC" w14:textId="6BF45896" w:rsidR="001F3D83" w:rsidRPr="0040228F" w:rsidRDefault="001F3D83" w:rsidP="00197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+380957040089</w:t>
      </w:r>
    </w:p>
    <w:p w14:paraId="170E70D3" w14:textId="6BB8477B" w:rsidR="001F3D83" w:rsidRPr="0040228F" w:rsidRDefault="001F3D83" w:rsidP="00197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bilas_andriy@ukr.net</w:t>
      </w:r>
    </w:p>
    <w:p w14:paraId="2A2D81AE" w14:textId="3E3F80B6" w:rsidR="00D9677D" w:rsidRPr="0040228F" w:rsidRDefault="00D9677D" w:rsidP="00D967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Andriy </w:t>
      </w:r>
      <w:r w:rsidRPr="0040228F">
        <w:rPr>
          <w:rFonts w:ascii="Times New Roman" w:hAnsi="Times New Roman" w:cs="Times New Roman"/>
          <w:b/>
          <w:bCs/>
          <w:sz w:val="24"/>
          <w:szCs w:val="24"/>
          <w:lang w:val="uk-UA"/>
        </w:rPr>
        <w:t>Bilas</w:t>
      </w:r>
    </w:p>
    <w:p w14:paraId="2ED4B080" w14:textId="77777777" w:rsidR="00D9677D" w:rsidRPr="0040228F" w:rsidRDefault="00D9677D" w:rsidP="00D967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ID ORCID : 0000-0003-4359-1149</w:t>
      </w:r>
    </w:p>
    <w:p w14:paraId="7A573BAB" w14:textId="77777777" w:rsidR="009744C7" w:rsidRPr="0040228F" w:rsidRDefault="009744C7" w:rsidP="00223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8E3C59" w14:textId="150E4F9B" w:rsidR="00223882" w:rsidRPr="0040228F" w:rsidRDefault="00223882" w:rsidP="00223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ПРОБЛЕМ</w:t>
      </w:r>
      <w:r w:rsidRPr="0040228F">
        <w:rPr>
          <w:rFonts w:ascii="Times New Roman" w:hAnsi="Times New Roman" w:cs="Times New Roman"/>
          <w:b/>
          <w:bCs/>
          <w:sz w:val="24"/>
          <w:szCs w:val="24"/>
          <w:lang w:val="uk-UA"/>
        </w:rPr>
        <w:t>АТИКА</w:t>
      </w:r>
      <w:r w:rsidRPr="004022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ПЕРЕКЛАДУ ТЕХНІЧНИХ ТЕКСТІВ</w:t>
      </w:r>
    </w:p>
    <w:p w14:paraId="75ADE311" w14:textId="77777777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ED00FB" w14:textId="5066395A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На сьогодні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інтенсивн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і значущ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ість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міжнародн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спілкування в різних видах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людської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ста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надто очевидн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ими, тому його успіх видається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неможливим без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фахових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переклад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ацьких студій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. Отже, зростають вимоги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до тексту перекладу, оскільки від його якості залежить співпраця між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різно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мовними комунікантами за прямої чи опосередкованої участі перекладача.</w:t>
      </w:r>
    </w:p>
    <w:p w14:paraId="614B761F" w14:textId="24E373AA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У нашій </w:t>
      </w:r>
      <w:r w:rsidR="000614B8">
        <w:rPr>
          <w:rFonts w:ascii="Times New Roman" w:hAnsi="Times New Roman" w:cs="Times New Roman"/>
          <w:sz w:val="24"/>
          <w:szCs w:val="24"/>
          <w:lang w:val="uk-UA"/>
        </w:rPr>
        <w:t>розвідці</w:t>
      </w:r>
      <w:bookmarkStart w:id="0" w:name="_GoBack"/>
      <w:bookmarkEnd w:id="0"/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розглянемо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проблем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атик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у перекладу технічних текстів. У нашій концепції б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еремо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значення терміну «технічний переклад», запропонованого Лораном Лагардом, який вважає «технічний переклад» перекладом текстів, що вимагає спеціальних знань, незалежно від розглянутої дисципліни </w:t>
      </w:r>
      <w:r w:rsidR="00662C10" w:rsidRPr="0040228F">
        <w:rPr>
          <w:rFonts w:ascii="Times New Roman" w:hAnsi="Times New Roman" w:cs="Times New Roman"/>
          <w:sz w:val="24"/>
          <w:szCs w:val="24"/>
          <w:lang w:val="uk-UA"/>
        </w:rPr>
        <w:t>[5, с.13]</w:t>
      </w:r>
      <w:r w:rsidR="00662C10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спеціальн</w:t>
      </w:r>
      <w:r w:rsidR="00662C10" w:rsidRPr="0040228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вид</w:t>
      </w:r>
      <w:r w:rsidR="00662C10" w:rsidRPr="0040228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 w:rsidR="00662C10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людини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FF7468" w14:textId="7D4559BC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Технічний переклад дуже важливий, оскільки він вважається мостом між різними культурами, що дозволяє їм ділитися своїми знаннями. Такий переклад зазвичай стикається з різними типами проблем, головним чином лексичними та синтаксичними [1, с. 322], які не </w:t>
      </w:r>
      <w:r w:rsidR="00662C10" w:rsidRPr="0040228F">
        <w:rPr>
          <w:rFonts w:ascii="Times New Roman" w:hAnsi="Times New Roman" w:cs="Times New Roman"/>
          <w:sz w:val="24"/>
          <w:szCs w:val="24"/>
          <w:lang w:val="uk-UA"/>
        </w:rPr>
        <w:t>є остаточними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12177E6" w14:textId="29340D34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Технічний переклад, мабуть, є тим типом перекладу, який змушує перекладача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 xml:space="preserve">бути на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максимальн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стані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від тексту та постійно переключатися між текстом і реальністю. Крім того, технічний перекладач має орієнтуватися на екстралінгвістичний контекст свого читача [4, с. 19]. Отже, текст перекладу має відповідати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зовнішнім елементам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 xml:space="preserve">реальної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дійсності.</w:t>
      </w:r>
    </w:p>
    <w:p w14:paraId="6C017C48" w14:textId="04AB88B1" w:rsidR="00223882" w:rsidRPr="0040228F" w:rsidRDefault="001D52CE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того,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технічні тексти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мають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суто утилітарну </w:t>
      </w:r>
      <w:r>
        <w:rPr>
          <w:rFonts w:ascii="Times New Roman" w:hAnsi="Times New Roman" w:cs="Times New Roman"/>
          <w:sz w:val="24"/>
          <w:szCs w:val="24"/>
          <w:lang w:val="uk-UA"/>
        </w:rPr>
        <w:t>дистинктивну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характеристику.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Чи не основна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функція таких текстів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полягає в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задовол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потреб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в інформації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вказівках, породжену потребою читача виконати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 xml:space="preserve">певне 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>технічне завдання [</w:t>
      </w:r>
      <w:r w:rsidR="000614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, с. 19].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Звідси випливає, що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ці потреби мають добре збігатися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завдяки результатам фахового перекладацтва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09CC2C" w14:textId="51064CC3" w:rsidR="00223882" w:rsidRPr="0040228F" w:rsidRDefault="001D52CE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Фаховими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технічн</w:t>
      </w:r>
      <w:r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перекладач</w:t>
      </w:r>
      <w:r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можна вважати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, хто ніколи не покладається на ймовірність чи інтуїцію, а продовжує сумніватися у своїх власних переконаннях і припущеннях. Ми впевнені, що чим </w:t>
      </w:r>
      <w:r>
        <w:rPr>
          <w:rFonts w:ascii="Times New Roman" w:hAnsi="Times New Roman" w:cs="Times New Roman"/>
          <w:sz w:val="24"/>
          <w:szCs w:val="24"/>
          <w:lang w:val="uk-UA"/>
        </w:rPr>
        <w:t>ґрунтовнішими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>об’єктивн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1D52CE">
        <w:rPr>
          <w:rFonts w:ascii="Times New Roman" w:hAnsi="Times New Roman" w:cs="Times New Roman"/>
          <w:sz w:val="24"/>
          <w:szCs w:val="24"/>
          <w:lang w:val="uk-UA"/>
        </w:rPr>
        <w:t xml:space="preserve">маркованими </w:t>
      </w:r>
      <w:r>
        <w:rPr>
          <w:rFonts w:ascii="Times New Roman" w:hAnsi="Times New Roman" w:cs="Times New Roman"/>
          <w:sz w:val="24"/>
          <w:szCs w:val="24"/>
          <w:lang w:val="uk-UA"/>
        </w:rPr>
        <w:t>знаннями</w:t>
      </w:r>
      <w:r w:rsidRPr="001D5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вони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володіють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>, тим швидшим буде процес перекладу [4, с.20]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D5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тому що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з’яс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ання істини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 xml:space="preserve">технічному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перекладі тоді необхідно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менше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 часу.</w:t>
      </w:r>
    </w:p>
    <w:p w14:paraId="62EA6AC1" w14:textId="0098DA21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Ми часто неправильно розуміємо труднощі, властиві технічному перекладу, як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ми схильні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інколи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зводити до проблеми термінологічного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, тоді як це частіше можна здійснити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з меншими труднощами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[3, с.6].</w:t>
      </w:r>
    </w:p>
    <w:p w14:paraId="560E65D9" w14:textId="676E4D1D" w:rsidR="00223882" w:rsidRPr="0040228F" w:rsidRDefault="00A2029D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Натомість,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позатекстові та екстралінгвістичні аспекти технічного перекладу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заслуговують на увагу. Знання технічної галузі, до якої належить текст, наприклад, також є необхідною умовою для правильного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термінологічного 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>тлумачення, розуміння та перекладу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[2, с.75]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вихідного тексту.</w:t>
      </w:r>
    </w:p>
    <w:p w14:paraId="0EB84446" w14:textId="29C07EFB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Технічний переклад вимагає формулювання комунікативно адекватних технічних текстів цільовою мовою. Процес перекладу повинен включати ясність, точність і лінгвістичну економію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 xml:space="preserve"> мовних засобів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, тобто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використати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інімально достатню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 кільк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 слів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Водночас к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ультурні елементи завжди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відбиваються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в текстах, навіть якщо вони можуть вважатися зайвими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2029D" w:rsidRPr="00A202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Проте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їхню </w:t>
      </w:r>
      <w:r w:rsidR="00A2029D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іноді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імплікативн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>у форму</w:t>
      </w:r>
      <w:r w:rsidR="00A2029D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варто</w:t>
      </w:r>
      <w:r w:rsidR="00A2029D">
        <w:rPr>
          <w:rFonts w:ascii="Times New Roman" w:hAnsi="Times New Roman" w:cs="Times New Roman"/>
          <w:sz w:val="24"/>
          <w:szCs w:val="24"/>
          <w:lang w:val="uk-UA"/>
        </w:rPr>
        <w:t xml:space="preserve"> відкидати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. Регундіс Штольце [6, с.126] впевнений, що в міжнародно стандартизованій термінології не переважає культурна 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>складова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>Але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 xml:space="preserve">процесі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переклад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765" w:rsidRPr="0040228F">
        <w:rPr>
          <w:rFonts w:ascii="Times New Roman" w:hAnsi="Times New Roman" w:cs="Times New Roman"/>
          <w:sz w:val="24"/>
          <w:szCs w:val="24"/>
          <w:lang w:val="uk-UA"/>
        </w:rPr>
        <w:t>технічно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>го тексту</w:t>
      </w:r>
      <w:r w:rsidR="003F3765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ретельно 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віряти 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 xml:space="preserve">міжмовну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термінологію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>, не нехтуючи культурним компонентом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2CB618" w14:textId="2A4FBCEF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Іноді технічні терміни створюються за допомогою метафоричних засобів, які </w:t>
      </w:r>
      <w:r w:rsidR="002E2EE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а схожіст</w:t>
      </w:r>
      <w:r w:rsidR="002E2EE2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у функціях, формі чи положенні об’єкта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 xml:space="preserve"> перекладу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. Але навіть незважаючи на те, що конкретна форма об’єкта може привести до подібної когнітивної концепції в різних культурах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це не </w:t>
      </w:r>
      <w:r w:rsidR="003F3765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завжди 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 xml:space="preserve">виявляється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обов’язков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>елементом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. Проблеми з перекладом можуть виникнути, коли метафори</w:t>
      </w:r>
      <w:r w:rsidR="003F3765">
        <w:rPr>
          <w:rFonts w:ascii="Times New Roman" w:hAnsi="Times New Roman" w:cs="Times New Roman"/>
          <w:sz w:val="24"/>
          <w:szCs w:val="24"/>
          <w:lang w:val="uk-UA"/>
        </w:rPr>
        <w:t>чність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 w:rsidR="00693949">
        <w:rPr>
          <w:rFonts w:ascii="Times New Roman" w:hAnsi="Times New Roman" w:cs="Times New Roman"/>
          <w:sz w:val="24"/>
          <w:szCs w:val="24"/>
          <w:lang w:val="uk-UA"/>
        </w:rPr>
        <w:t xml:space="preserve">вирізняється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ідентичн</w:t>
      </w:r>
      <w:r w:rsidR="00693949">
        <w:rPr>
          <w:rFonts w:ascii="Times New Roman" w:hAnsi="Times New Roman" w:cs="Times New Roman"/>
          <w:sz w:val="24"/>
          <w:szCs w:val="24"/>
          <w:lang w:val="uk-UA"/>
        </w:rPr>
        <w:t>істю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w:r w:rsidR="00693949">
        <w:rPr>
          <w:rFonts w:ascii="Times New Roman" w:hAnsi="Times New Roman" w:cs="Times New Roman"/>
          <w:sz w:val="24"/>
          <w:szCs w:val="24"/>
          <w:lang w:val="uk-UA"/>
        </w:rPr>
        <w:t xml:space="preserve"> двома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мовами і перекладачі </w:t>
      </w:r>
      <w:r w:rsidR="00693949">
        <w:rPr>
          <w:rFonts w:ascii="Times New Roman" w:hAnsi="Times New Roman" w:cs="Times New Roman"/>
          <w:sz w:val="24"/>
          <w:szCs w:val="24"/>
          <w:lang w:val="uk-UA"/>
        </w:rPr>
        <w:t xml:space="preserve">можуть не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зна</w:t>
      </w:r>
      <w:r w:rsidR="00693949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693949">
        <w:rPr>
          <w:rFonts w:ascii="Times New Roman" w:hAnsi="Times New Roman" w:cs="Times New Roman"/>
          <w:sz w:val="24"/>
          <w:szCs w:val="24"/>
          <w:lang w:val="uk-UA"/>
        </w:rPr>
        <w:t>таку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949">
        <w:rPr>
          <w:rFonts w:ascii="Times New Roman" w:hAnsi="Times New Roman" w:cs="Times New Roman"/>
          <w:sz w:val="24"/>
          <w:szCs w:val="24"/>
          <w:lang w:val="uk-UA"/>
        </w:rPr>
        <w:t>ймовірність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[6, с.127].</w:t>
      </w:r>
    </w:p>
    <w:p w14:paraId="575288FD" w14:textId="77777777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Слід зазначити, що систематизація створення термінології, аналіз тексту та архівування інформації є дуже важливими для перекладачів технічних текстів. Лоран Лагард вважає, що спеціалізований перекладач надає менше значення технічності вихідного тексту, ніж неспеціалізований перекладач [5, с.13].</w:t>
      </w:r>
    </w:p>
    <w:p w14:paraId="145E3CB0" w14:textId="5C0F3DC1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Отже, порівняно з мовами літератури, які демонструють широкий спектр творчих мовних форм, технічна комунікація використовує навмисне скорочення стилістичних форм, де орієнтований на зміст характер технічної комунікації означає, що короткі, </w:t>
      </w:r>
      <w:r w:rsidR="00693949">
        <w:rPr>
          <w:rFonts w:ascii="Times New Roman" w:hAnsi="Times New Roman" w:cs="Times New Roman"/>
          <w:sz w:val="24"/>
          <w:szCs w:val="24"/>
          <w:lang w:val="uk-UA"/>
        </w:rPr>
        <w:t>ствердні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речення, організація лінійної теми-реми і щільна синтаксична компресія </w:t>
      </w:r>
      <w:r w:rsidR="00D245C3">
        <w:rPr>
          <w:rFonts w:ascii="Times New Roman" w:hAnsi="Times New Roman" w:cs="Times New Roman"/>
          <w:sz w:val="24"/>
          <w:szCs w:val="24"/>
          <w:lang w:val="uk-UA"/>
        </w:rPr>
        <w:t xml:space="preserve">є досить 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поширені [6, с.129].</w:t>
      </w:r>
    </w:p>
    <w:p w14:paraId="7E4AD931" w14:textId="6C8907E5" w:rsidR="00223882" w:rsidRPr="0040228F" w:rsidRDefault="002E2EE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Зрештою</w:t>
      </w:r>
      <w:r w:rsidR="00893F2E">
        <w:rPr>
          <w:rFonts w:ascii="Times New Roman" w:hAnsi="Times New Roman" w:cs="Times New Roman"/>
          <w:sz w:val="24"/>
          <w:szCs w:val="24"/>
          <w:lang w:val="uk-UA"/>
        </w:rPr>
        <w:t>, у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професійному перекладі перекладач має зобов’язання перед клієнтом. Останній визначає специфікації, яких перекладач зобов’язаний дотримуватися з етичних і правових норм</w:t>
      </w:r>
      <w:r w:rsidR="00893F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3F2E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і специфікації можуть мати форму рекомендацій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вимог (усних </w:t>
      </w:r>
      <w:r w:rsidR="00893F2E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письмових) щодо термінів виконання, винагороди, термінології, фразеології чи пре</w:t>
      </w:r>
      <w:r w:rsidR="00893F2E">
        <w:rPr>
          <w:rFonts w:ascii="Times New Roman" w:hAnsi="Times New Roman" w:cs="Times New Roman"/>
          <w:sz w:val="24"/>
          <w:szCs w:val="24"/>
          <w:lang w:val="uk-UA"/>
        </w:rPr>
        <w:t>дставлення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результату роботи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. Перекладач може узгодити з клієнтом </w:t>
      </w:r>
      <w:r w:rsidR="00C05E46">
        <w:rPr>
          <w:rFonts w:ascii="Times New Roman" w:hAnsi="Times New Roman" w:cs="Times New Roman"/>
          <w:sz w:val="24"/>
          <w:szCs w:val="24"/>
          <w:lang w:val="uk-UA"/>
        </w:rPr>
        <w:t xml:space="preserve">ще й такі 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пункти специфікації, як </w:t>
      </w:r>
      <w:r w:rsidR="000614B8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і термін виконання </w:t>
      </w:r>
      <w:r w:rsidR="000614B8">
        <w:rPr>
          <w:rFonts w:ascii="Times New Roman" w:hAnsi="Times New Roman" w:cs="Times New Roman"/>
          <w:sz w:val="24"/>
          <w:szCs w:val="24"/>
          <w:lang w:val="uk-UA"/>
        </w:rPr>
        <w:t>перекладацького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14B8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="00223882"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[5, с.15].</w:t>
      </w:r>
    </w:p>
    <w:p w14:paraId="0419FB00" w14:textId="794540F8" w:rsidR="00223882" w:rsidRPr="0040228F" w:rsidRDefault="00223882" w:rsidP="0022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>Можна зробити висновок, що перекладач технічних текстів стає професіоналом завдяки, зокрема, оволодінню спеціалізованою лексикою технічної документації, а також набору специфічних термінів і знань з різних галузей, пов’язаних з діяльністю в контексті різних рівні</w:t>
      </w:r>
      <w:r w:rsidR="00B6165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(соціальний та економічний</w:t>
      </w:r>
      <w:r w:rsidR="000614B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. Переконан</w:t>
      </w:r>
      <w:r w:rsidR="000614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, що знання технічних термінів дозволяє професійному перекладачеві правильно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відтворю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вати вихідні тексти технічного дискурсу в цільовому просторі. Таким чином, перекладачі допомагають налагодити співпрацю між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фахівця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ми-українцями в різних сферах технічної діяльності з 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іноземними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 колег</w:t>
      </w:r>
      <w:r w:rsidR="00B53F6D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14:paraId="29741464" w14:textId="77777777" w:rsidR="00B61658" w:rsidRDefault="00B61658" w:rsidP="0019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40933798"/>
    </w:p>
    <w:bookmarkEnd w:id="1"/>
    <w:p w14:paraId="54286C2B" w14:textId="0720FC6B" w:rsidR="00856AFB" w:rsidRPr="0040228F" w:rsidRDefault="00436B67" w:rsidP="0019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використаних джерел</w:t>
      </w:r>
    </w:p>
    <w:p w14:paraId="17805457" w14:textId="77777777" w:rsidR="004C250D" w:rsidRPr="0040228F" w:rsidRDefault="004C250D" w:rsidP="0019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6197C1F" w14:textId="77777777" w:rsidR="004C250D" w:rsidRPr="0040228F" w:rsidRDefault="004C250D" w:rsidP="0040215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A Mujahed Al-Muhiesen E., Al Haj Saleh Al-Ajrami M. (2019). Challenges in Translating Technical Texts, </w:t>
      </w:r>
      <w:r w:rsidRPr="0040228F">
        <w:rPr>
          <w:rFonts w:ascii="Times New Roman" w:hAnsi="Times New Roman" w:cs="Times New Roman"/>
          <w:i/>
          <w:iCs/>
          <w:sz w:val="24"/>
          <w:szCs w:val="24"/>
          <w:lang w:val="uk-UA"/>
        </w:rPr>
        <w:t>Dirasat, Human and Social Sciences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, 46, 1, DAR Publishers/University of Jordan, 322-328.</w:t>
      </w:r>
    </w:p>
    <w:p w14:paraId="5ABB960A" w14:textId="77777777" w:rsidR="004C250D" w:rsidRPr="0040228F" w:rsidRDefault="004C250D" w:rsidP="0040215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Ezeyi, J. (2020). Dealing With Extra-Textual and Extra-Linguistic Problems in Scientific and Technical Translations, URL : </w:t>
      </w:r>
      <w:hyperlink r:id="rId5" w:history="1">
        <w:r w:rsidRPr="0040228F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https://papers.ssrn.com/sol3/papers.cfm?abstract_id=3675014</w:t>
        </w:r>
      </w:hyperlink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977E33C" w14:textId="77777777" w:rsidR="004C250D" w:rsidRPr="0040228F" w:rsidRDefault="004C250D" w:rsidP="0040215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Fontanet, M. (2006). La traduction des textes techniques : le texte sous l'empire de l'extratextuel. </w:t>
      </w:r>
      <w:r w:rsidRPr="0040228F">
        <w:rPr>
          <w:rFonts w:ascii="Times New Roman" w:hAnsi="Times New Roman" w:cs="Times New Roman"/>
          <w:i/>
          <w:iCs/>
          <w:sz w:val="24"/>
          <w:szCs w:val="24"/>
          <w:lang w:val="uk-UA"/>
        </w:rPr>
        <w:t>D. Blampain, Ph. Thoiron et M. Van Campenhoudt, Mots, termes et contexte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, Paris : Ed. des Archives contemporaines, 309-316.</w:t>
      </w:r>
    </w:p>
    <w:p w14:paraId="37555A53" w14:textId="77777777" w:rsidR="004C250D" w:rsidRPr="0040228F" w:rsidRDefault="004C250D" w:rsidP="0040215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Fontanet, M. (2013). The Technical Translator: the Sherlock Holmes of Translation? </w:t>
      </w:r>
      <w:r w:rsidRPr="0040228F">
        <w:rPr>
          <w:rFonts w:ascii="Times New Roman" w:hAnsi="Times New Roman" w:cs="Times New Roman"/>
          <w:i/>
          <w:iCs/>
          <w:sz w:val="24"/>
          <w:szCs w:val="24"/>
          <w:lang w:val="uk-UA"/>
        </w:rPr>
        <w:t>ATA Chronicle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, 42, 7, 18-26, URL: </w:t>
      </w:r>
      <w:hyperlink r:id="rId6" w:history="1">
        <w:r w:rsidRPr="0040228F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https://www.ata-chronicle.online/wp-content/uploads/4207_18_mathilde_fontanet.pdf</w:t>
        </w:r>
      </w:hyperlink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07700B6" w14:textId="77777777" w:rsidR="004C250D" w:rsidRPr="0040228F" w:rsidRDefault="004C250D" w:rsidP="0040215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Lagarde L. (2009). Le traducteur professionnel face aux textes techniques et à la recherche documentaire. Linguistique. Thèse de doctorat en Traductologie. Sous la direction de Daniel Gile. Université de la Sorbonne nouvelle, Paris III, URL : </w:t>
      </w:r>
      <w:hyperlink r:id="rId7" w:history="1">
        <w:r w:rsidRPr="0040228F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https://www.theses.fr/2009PA030085</w:t>
        </w:r>
      </w:hyperlink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06328CC" w14:textId="77777777" w:rsidR="004C250D" w:rsidRPr="0040228F" w:rsidRDefault="004C250D" w:rsidP="0040215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8F">
        <w:rPr>
          <w:rFonts w:ascii="Times New Roman" w:hAnsi="Times New Roman" w:cs="Times New Roman"/>
          <w:sz w:val="24"/>
          <w:szCs w:val="24"/>
          <w:lang w:val="uk-UA"/>
        </w:rPr>
        <w:t xml:space="preserve">Stolze, R. D. (2009). Dealing with cultural Elements in Technical texts for Translation, </w:t>
      </w:r>
      <w:r w:rsidRPr="0040228F">
        <w:rPr>
          <w:rFonts w:ascii="Times New Roman" w:hAnsi="Times New Roman" w:cs="Times New Roman"/>
          <w:i/>
          <w:iCs/>
          <w:sz w:val="24"/>
          <w:szCs w:val="24"/>
          <w:lang w:val="uk-UA"/>
        </w:rPr>
        <w:t>The Journal of Specialised Translation</w:t>
      </w:r>
      <w:r w:rsidRPr="0040228F">
        <w:rPr>
          <w:rFonts w:ascii="Times New Roman" w:hAnsi="Times New Roman" w:cs="Times New Roman"/>
          <w:sz w:val="24"/>
          <w:szCs w:val="24"/>
          <w:lang w:val="uk-UA"/>
        </w:rPr>
        <w:t>, 11, 124- 145.</w:t>
      </w:r>
    </w:p>
    <w:p w14:paraId="0D8819E2" w14:textId="0C3BC757" w:rsidR="00EB2B07" w:rsidRPr="0040228F" w:rsidRDefault="00EB2B07" w:rsidP="0019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B2B07" w:rsidRPr="0040228F" w:rsidSect="001975B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858DC"/>
    <w:multiLevelType w:val="hybridMultilevel"/>
    <w:tmpl w:val="6874B85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0B3B21"/>
    <w:multiLevelType w:val="hybridMultilevel"/>
    <w:tmpl w:val="4E56C1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4"/>
    <w:rsid w:val="000614B8"/>
    <w:rsid w:val="00062053"/>
    <w:rsid w:val="000844FC"/>
    <w:rsid w:val="000A6973"/>
    <w:rsid w:val="000F18E8"/>
    <w:rsid w:val="000F25D2"/>
    <w:rsid w:val="000F52ED"/>
    <w:rsid w:val="001278E3"/>
    <w:rsid w:val="00176654"/>
    <w:rsid w:val="001779F8"/>
    <w:rsid w:val="001855D1"/>
    <w:rsid w:val="001975BF"/>
    <w:rsid w:val="001A3D9E"/>
    <w:rsid w:val="001D52CE"/>
    <w:rsid w:val="001F0F29"/>
    <w:rsid w:val="001F1FDA"/>
    <w:rsid w:val="001F3D83"/>
    <w:rsid w:val="00202577"/>
    <w:rsid w:val="00206025"/>
    <w:rsid w:val="00223882"/>
    <w:rsid w:val="002252D3"/>
    <w:rsid w:val="00225EE8"/>
    <w:rsid w:val="002268D3"/>
    <w:rsid w:val="00235148"/>
    <w:rsid w:val="00254A04"/>
    <w:rsid w:val="00264273"/>
    <w:rsid w:val="002B7E04"/>
    <w:rsid w:val="002C0013"/>
    <w:rsid w:val="002E2EE2"/>
    <w:rsid w:val="002E3034"/>
    <w:rsid w:val="003007F4"/>
    <w:rsid w:val="003008EC"/>
    <w:rsid w:val="0030687D"/>
    <w:rsid w:val="00311FE0"/>
    <w:rsid w:val="00341048"/>
    <w:rsid w:val="003526DB"/>
    <w:rsid w:val="00375462"/>
    <w:rsid w:val="00377666"/>
    <w:rsid w:val="00382699"/>
    <w:rsid w:val="003B6A60"/>
    <w:rsid w:val="003D5410"/>
    <w:rsid w:val="003F3765"/>
    <w:rsid w:val="00402151"/>
    <w:rsid w:val="0040228F"/>
    <w:rsid w:val="004203A7"/>
    <w:rsid w:val="00423C6A"/>
    <w:rsid w:val="00432536"/>
    <w:rsid w:val="004346F3"/>
    <w:rsid w:val="00436B67"/>
    <w:rsid w:val="00472635"/>
    <w:rsid w:val="004806D9"/>
    <w:rsid w:val="004B6D8D"/>
    <w:rsid w:val="004C250D"/>
    <w:rsid w:val="004D7A7B"/>
    <w:rsid w:val="00511B4F"/>
    <w:rsid w:val="0052485A"/>
    <w:rsid w:val="00551D74"/>
    <w:rsid w:val="00555F93"/>
    <w:rsid w:val="0056657A"/>
    <w:rsid w:val="005751CA"/>
    <w:rsid w:val="00593E40"/>
    <w:rsid w:val="005A3FCC"/>
    <w:rsid w:val="005C5816"/>
    <w:rsid w:val="005E3695"/>
    <w:rsid w:val="005F15E2"/>
    <w:rsid w:val="00662C10"/>
    <w:rsid w:val="00692AB1"/>
    <w:rsid w:val="00693949"/>
    <w:rsid w:val="006B36D7"/>
    <w:rsid w:val="006C363B"/>
    <w:rsid w:val="006D7E7B"/>
    <w:rsid w:val="006F5DAC"/>
    <w:rsid w:val="00707522"/>
    <w:rsid w:val="00755890"/>
    <w:rsid w:val="00757F08"/>
    <w:rsid w:val="007A12B4"/>
    <w:rsid w:val="007A1B25"/>
    <w:rsid w:val="007F093E"/>
    <w:rsid w:val="008212A7"/>
    <w:rsid w:val="00856256"/>
    <w:rsid w:val="00856AFB"/>
    <w:rsid w:val="00870FDA"/>
    <w:rsid w:val="00883CFE"/>
    <w:rsid w:val="00893F2E"/>
    <w:rsid w:val="008C720D"/>
    <w:rsid w:val="009065C8"/>
    <w:rsid w:val="00913AD0"/>
    <w:rsid w:val="009564FA"/>
    <w:rsid w:val="009744C7"/>
    <w:rsid w:val="009A460C"/>
    <w:rsid w:val="009D1BC7"/>
    <w:rsid w:val="009D20B1"/>
    <w:rsid w:val="009D2BA3"/>
    <w:rsid w:val="009D6EA7"/>
    <w:rsid w:val="009F0332"/>
    <w:rsid w:val="00A018DF"/>
    <w:rsid w:val="00A2029D"/>
    <w:rsid w:val="00A32BF4"/>
    <w:rsid w:val="00A330E2"/>
    <w:rsid w:val="00A526D9"/>
    <w:rsid w:val="00A548E1"/>
    <w:rsid w:val="00A74A19"/>
    <w:rsid w:val="00A75909"/>
    <w:rsid w:val="00A7789B"/>
    <w:rsid w:val="00AA064A"/>
    <w:rsid w:val="00AD67D5"/>
    <w:rsid w:val="00AD7E11"/>
    <w:rsid w:val="00B0776B"/>
    <w:rsid w:val="00B232CD"/>
    <w:rsid w:val="00B53F6D"/>
    <w:rsid w:val="00B61658"/>
    <w:rsid w:val="00B95929"/>
    <w:rsid w:val="00BF50BE"/>
    <w:rsid w:val="00C05E46"/>
    <w:rsid w:val="00C32875"/>
    <w:rsid w:val="00C3340A"/>
    <w:rsid w:val="00C345EE"/>
    <w:rsid w:val="00C5558F"/>
    <w:rsid w:val="00C60B6F"/>
    <w:rsid w:val="00C67B86"/>
    <w:rsid w:val="00C703B4"/>
    <w:rsid w:val="00C9102D"/>
    <w:rsid w:val="00CB77FB"/>
    <w:rsid w:val="00CF364A"/>
    <w:rsid w:val="00D012A0"/>
    <w:rsid w:val="00D03FAC"/>
    <w:rsid w:val="00D124B8"/>
    <w:rsid w:val="00D245C3"/>
    <w:rsid w:val="00D504EC"/>
    <w:rsid w:val="00D55F0B"/>
    <w:rsid w:val="00D71F20"/>
    <w:rsid w:val="00D879C9"/>
    <w:rsid w:val="00D9677D"/>
    <w:rsid w:val="00DC5ED6"/>
    <w:rsid w:val="00E02C18"/>
    <w:rsid w:val="00E2372B"/>
    <w:rsid w:val="00E27D86"/>
    <w:rsid w:val="00E41F9B"/>
    <w:rsid w:val="00E825C5"/>
    <w:rsid w:val="00E91419"/>
    <w:rsid w:val="00EB2B07"/>
    <w:rsid w:val="00ED4E97"/>
    <w:rsid w:val="00EF1BD9"/>
    <w:rsid w:val="00F378EB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8DF7"/>
  <w15:chartTrackingRefBased/>
  <w15:docId w15:val="{1F6EF64A-9A38-4FB0-A59F-2950DE3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2A0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40A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ses.fr/2009PA030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a-chronicle.online/wp-content/uploads/4207_18_mathilde_fontanet.pdf" TargetMode="External"/><Relationship Id="rId5" Type="http://schemas.openxmlformats.org/officeDocument/2006/relationships/hyperlink" Target="https://papers.ssrn.com/sol3/papers.cfm?abstract_id=36750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2023-08-04T16:16:00Z</dcterms:created>
  <dcterms:modified xsi:type="dcterms:W3CDTF">2023-08-04T17:53:00Z</dcterms:modified>
</cp:coreProperties>
</file>