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66" w:rsidRPr="00493C58" w:rsidRDefault="00617B66" w:rsidP="00617B66">
      <w:pP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3C58">
        <w:rPr>
          <w:rFonts w:ascii="Times New Roman" w:hAnsi="Times New Roman"/>
          <w:b/>
          <w:color w:val="000000" w:themeColor="text1"/>
          <w:sz w:val="28"/>
          <w:szCs w:val="28"/>
        </w:rPr>
        <w:t>ОСОБЛИВОСТІ ФОРМУВАННЯ ФІНАНСОВИХ РЕСУРСІВ БАНКІВ В СУЧАСНИХ УМОВАХ</w:t>
      </w:r>
    </w:p>
    <w:p w:rsidR="00493C58" w:rsidRPr="00DD6EA4" w:rsidRDefault="00493C58" w:rsidP="000557E4">
      <w:pPr>
        <w:jc w:val="right"/>
        <w:rPr>
          <w:rFonts w:eastAsia="Microsoft JhengHei UI Light"/>
          <w:b/>
          <w:bCs/>
          <w:sz w:val="28"/>
          <w:szCs w:val="28"/>
        </w:rPr>
      </w:pPr>
      <w:proofErr w:type="spellStart"/>
      <w:r w:rsidRPr="00DD6EA4">
        <w:rPr>
          <w:rFonts w:eastAsia="Microsoft JhengHei UI Light"/>
          <w:b/>
          <w:bCs/>
          <w:sz w:val="28"/>
          <w:szCs w:val="28"/>
        </w:rPr>
        <w:t>Криховецька</w:t>
      </w:r>
      <w:proofErr w:type="spellEnd"/>
      <w:r w:rsidRPr="00DD6EA4">
        <w:rPr>
          <w:rFonts w:eastAsia="Microsoft JhengHei UI Light"/>
          <w:b/>
          <w:bCs/>
          <w:sz w:val="28"/>
          <w:szCs w:val="28"/>
          <w:lang w:val="en-US"/>
        </w:rPr>
        <w:t xml:space="preserve"> </w:t>
      </w:r>
      <w:r w:rsidRPr="00DD6EA4">
        <w:rPr>
          <w:rFonts w:eastAsia="Microsoft JhengHei UI Light"/>
          <w:b/>
          <w:bCs/>
          <w:sz w:val="28"/>
          <w:szCs w:val="28"/>
        </w:rPr>
        <w:t>Зоряна Миколаївна</w:t>
      </w:r>
    </w:p>
    <w:p w:rsidR="006B0FB0" w:rsidRDefault="00493C58" w:rsidP="000557E4">
      <w:pPr>
        <w:ind w:firstLine="709"/>
        <w:jc w:val="right"/>
        <w:rPr>
          <w:sz w:val="28"/>
          <w:szCs w:val="28"/>
        </w:rPr>
      </w:pPr>
      <w:r w:rsidRPr="00DD6EA4">
        <w:rPr>
          <w:sz w:val="28"/>
          <w:szCs w:val="28"/>
        </w:rPr>
        <w:t>к</w:t>
      </w:r>
      <w:r w:rsidR="00DD6EA4">
        <w:rPr>
          <w:sz w:val="28"/>
          <w:szCs w:val="28"/>
        </w:rPr>
        <w:t>.</w:t>
      </w:r>
      <w:r w:rsidRPr="00DD6EA4">
        <w:rPr>
          <w:sz w:val="28"/>
          <w:szCs w:val="28"/>
        </w:rPr>
        <w:t xml:space="preserve"> </w:t>
      </w:r>
      <w:proofErr w:type="spellStart"/>
      <w:r w:rsidRPr="00DD6EA4">
        <w:rPr>
          <w:sz w:val="28"/>
          <w:szCs w:val="28"/>
        </w:rPr>
        <w:t>е</w:t>
      </w:r>
      <w:r w:rsidR="00DD6EA4">
        <w:rPr>
          <w:sz w:val="28"/>
          <w:szCs w:val="28"/>
        </w:rPr>
        <w:t>.</w:t>
      </w:r>
      <w:r w:rsidRPr="00DD6EA4">
        <w:rPr>
          <w:sz w:val="28"/>
          <w:szCs w:val="28"/>
        </w:rPr>
        <w:t>н</w:t>
      </w:r>
      <w:proofErr w:type="spellEnd"/>
      <w:r w:rsidR="00DD6EA4">
        <w:rPr>
          <w:sz w:val="28"/>
          <w:szCs w:val="28"/>
        </w:rPr>
        <w:t>.</w:t>
      </w:r>
      <w:r w:rsidRPr="00DD6EA4">
        <w:rPr>
          <w:sz w:val="28"/>
          <w:szCs w:val="28"/>
        </w:rPr>
        <w:t>, доцент</w:t>
      </w:r>
    </w:p>
    <w:p w:rsidR="00DD6EA4" w:rsidRPr="00DD6EA4" w:rsidRDefault="00DD6EA4" w:rsidP="000557E4">
      <w:pPr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6EA4">
        <w:rPr>
          <w:rFonts w:ascii="Times New Roman" w:hAnsi="Times New Roman"/>
          <w:b/>
          <w:color w:val="000000" w:themeColor="text1"/>
          <w:sz w:val="28"/>
          <w:szCs w:val="28"/>
        </w:rPr>
        <w:t>Небесна Христина Володимирівна</w:t>
      </w:r>
    </w:p>
    <w:p w:rsidR="00DD6EA4" w:rsidRPr="00DD6EA4" w:rsidRDefault="00DD6EA4" w:rsidP="000557E4">
      <w:pPr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D6EA4">
        <w:rPr>
          <w:rFonts w:ascii="Times New Roman" w:hAnsi="Times New Roman"/>
          <w:color w:val="000000" w:themeColor="text1"/>
          <w:sz w:val="28"/>
          <w:szCs w:val="28"/>
        </w:rPr>
        <w:t>студентка</w:t>
      </w:r>
    </w:p>
    <w:p w:rsidR="00493C58" w:rsidRDefault="00493C58" w:rsidP="000557E4">
      <w:pPr>
        <w:jc w:val="right"/>
        <w:rPr>
          <w:rFonts w:eastAsia="Microsoft JhengHei UI Light"/>
          <w:bCs/>
          <w:sz w:val="28"/>
          <w:szCs w:val="28"/>
        </w:rPr>
      </w:pPr>
      <w:r w:rsidRPr="00DD6EA4">
        <w:rPr>
          <w:rFonts w:eastAsia="Microsoft JhengHei UI Light"/>
          <w:bCs/>
          <w:sz w:val="28"/>
          <w:szCs w:val="28"/>
        </w:rPr>
        <w:t>Прикарпатськ</w:t>
      </w:r>
      <w:r w:rsidR="00DD6EA4">
        <w:rPr>
          <w:rFonts w:eastAsia="Microsoft JhengHei UI Light"/>
          <w:bCs/>
          <w:sz w:val="28"/>
          <w:szCs w:val="28"/>
        </w:rPr>
        <w:t>ий</w:t>
      </w:r>
      <w:r w:rsidRPr="00DD6EA4">
        <w:rPr>
          <w:rFonts w:eastAsia="Microsoft JhengHei UI Light"/>
          <w:bCs/>
          <w:sz w:val="28"/>
          <w:szCs w:val="28"/>
        </w:rPr>
        <w:t xml:space="preserve"> національн</w:t>
      </w:r>
      <w:r w:rsidR="00DD6EA4">
        <w:rPr>
          <w:rFonts w:eastAsia="Microsoft JhengHei UI Light"/>
          <w:bCs/>
          <w:sz w:val="28"/>
          <w:szCs w:val="28"/>
        </w:rPr>
        <w:t>ий університет</w:t>
      </w:r>
      <w:r w:rsidRPr="00DD6EA4">
        <w:rPr>
          <w:rFonts w:eastAsia="Microsoft JhengHei UI Light"/>
          <w:bCs/>
          <w:sz w:val="28"/>
          <w:szCs w:val="28"/>
        </w:rPr>
        <w:t xml:space="preserve"> імені Василя Стефаника</w:t>
      </w:r>
      <w:r w:rsidR="00DD6EA4">
        <w:rPr>
          <w:rFonts w:eastAsia="Microsoft JhengHei UI Light"/>
          <w:bCs/>
          <w:sz w:val="28"/>
          <w:szCs w:val="28"/>
        </w:rPr>
        <w:t>,</w:t>
      </w:r>
    </w:p>
    <w:p w:rsidR="00DD6EA4" w:rsidRPr="00DD6EA4" w:rsidRDefault="00DD6EA4" w:rsidP="000557E4">
      <w:pPr>
        <w:jc w:val="right"/>
        <w:rPr>
          <w:rFonts w:eastAsia="Microsoft JhengHei UI Light"/>
          <w:bCs/>
          <w:sz w:val="28"/>
          <w:szCs w:val="28"/>
        </w:rPr>
      </w:pPr>
      <w:r>
        <w:rPr>
          <w:rFonts w:eastAsia="Microsoft JhengHei UI Light"/>
          <w:bCs/>
          <w:sz w:val="28"/>
          <w:szCs w:val="28"/>
        </w:rPr>
        <w:t xml:space="preserve">  м. Івано-Франківськ, Україна</w:t>
      </w:r>
    </w:p>
    <w:p w:rsidR="00A1535D" w:rsidRPr="00A1535D" w:rsidRDefault="00A1535D" w:rsidP="000557E4">
      <w:pPr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zoryanakrykh@ukr.net</w:t>
      </w:r>
    </w:p>
    <w:p w:rsidR="000557E4" w:rsidRDefault="000557E4" w:rsidP="001D6F88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513794" w:rsidRDefault="00400E56" w:rsidP="001D6F8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E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Вступ. 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На сьогоднішній день в Україні, як і в інших країнах світу, важливу роль для розвитку економіки держави відіграє надійна та ефективна банківська система. Для того, аби банк провадив свою діяльність та ефективно функціонував, у нього повинні бути фінансові ресурси. </w:t>
      </w:r>
    </w:p>
    <w:p w:rsidR="00513794" w:rsidRDefault="00513794" w:rsidP="002812AA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Процес формування ресурсної бази є надзвичайно важливим для банку, оскільки в залежності від того, наскільки фінансові ресурси достатні за обсягом, оптимально сформовані та збалансовані, буде залежати те, як банк зможе обслуговувати своїх клієнтів, здійснювати інвестиційну діяльність, формувати власні резерви, підтримувати ліквідність, а це в свою чергу буде впливати на прибутковість банку. Саме тому</w:t>
      </w:r>
      <w:r w:rsidR="00D768F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банкам слід провадити ефективну ресурсну політику, як щодо формування, так і використання та управління фінансовими ресурсами.</w:t>
      </w:r>
    </w:p>
    <w:p w:rsidR="00513794" w:rsidRDefault="00B80BB9" w:rsidP="001D6F88">
      <w:pPr>
        <w:spacing w:line="360" w:lineRule="auto"/>
        <w:ind w:firstLine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ормування та управління фінансовими ресурсами банку досліджували різні вчені, зокрема питання формування капіталу досліджували </w:t>
      </w:r>
      <w:proofErr w:type="spellStart"/>
      <w:r w:rsidR="00513794">
        <w:rPr>
          <w:rFonts w:ascii="Times New Roman" w:hAnsi="Times New Roman"/>
          <w:color w:val="000000" w:themeColor="text1"/>
          <w:sz w:val="28"/>
          <w:szCs w:val="28"/>
        </w:rPr>
        <w:t>Глущенко</w:t>
      </w:r>
      <w:proofErr w:type="spellEnd"/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 Я. та Гладких Д., особливості формування депозитів та пр</w:t>
      </w:r>
      <w:r w:rsidR="008E5843">
        <w:rPr>
          <w:rFonts w:ascii="Times New Roman" w:hAnsi="Times New Roman"/>
          <w:color w:val="000000" w:themeColor="text1"/>
          <w:sz w:val="28"/>
          <w:szCs w:val="28"/>
        </w:rPr>
        <w:t>оцес управління ними – Чернишов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 Л., Мельничук Н. Макаренко Ю., </w:t>
      </w:r>
      <w:proofErr w:type="spellStart"/>
      <w:r w:rsidR="008E5843">
        <w:rPr>
          <w:rFonts w:ascii="Times New Roman" w:hAnsi="Times New Roman"/>
          <w:color w:val="000000" w:themeColor="text1"/>
          <w:sz w:val="28"/>
          <w:szCs w:val="28"/>
        </w:rPr>
        <w:t>Фостяк</w:t>
      </w:r>
      <w:proofErr w:type="spellEnd"/>
      <w:r w:rsidR="008E5843">
        <w:rPr>
          <w:rFonts w:ascii="Times New Roman" w:hAnsi="Times New Roman"/>
          <w:color w:val="000000" w:themeColor="text1"/>
          <w:sz w:val="28"/>
          <w:szCs w:val="28"/>
        </w:rPr>
        <w:t xml:space="preserve"> В., </w:t>
      </w:r>
      <w:proofErr w:type="spellStart"/>
      <w:r w:rsidR="008E5843">
        <w:rPr>
          <w:rFonts w:ascii="Times New Roman" w:hAnsi="Times New Roman"/>
          <w:color w:val="000000" w:themeColor="text1"/>
          <w:sz w:val="28"/>
          <w:szCs w:val="28"/>
        </w:rPr>
        <w:t>Дробот</w:t>
      </w:r>
      <w:proofErr w:type="spellEnd"/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 Я., основні проблеми, які виникають в процесі капіталізації капіталу та залученні депозитів визначали Гладких Д., </w:t>
      </w:r>
      <w:proofErr w:type="spellStart"/>
      <w:r w:rsidR="00513794">
        <w:rPr>
          <w:rFonts w:ascii="Times New Roman" w:hAnsi="Times New Roman"/>
          <w:color w:val="000000" w:themeColor="text1"/>
          <w:sz w:val="28"/>
          <w:szCs w:val="28"/>
        </w:rPr>
        <w:t>Онищенко</w:t>
      </w:r>
      <w:proofErr w:type="spellEnd"/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 Ю., Сова О. та інш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>і науковці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3794" w:rsidRDefault="00400E56" w:rsidP="001D6F8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E56">
        <w:rPr>
          <w:rFonts w:ascii="Times New Roman" w:hAnsi="Times New Roman"/>
          <w:b/>
          <w:color w:val="000000" w:themeColor="text1"/>
          <w:sz w:val="28"/>
          <w:szCs w:val="28"/>
        </w:rPr>
        <w:t>Мета.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Метою роботи є </w:t>
      </w:r>
      <w:r w:rsidR="008C0AC3">
        <w:rPr>
          <w:rFonts w:ascii="Times New Roman" w:hAnsi="Times New Roman"/>
          <w:color w:val="000000" w:themeColor="text1"/>
          <w:sz w:val="28"/>
          <w:szCs w:val="28"/>
        </w:rPr>
        <w:t>дослідження стану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 формування банками фінансових ресурсів та визначення шляхів їх оптимізації.</w:t>
      </w:r>
    </w:p>
    <w:p w:rsidR="00400E56" w:rsidRDefault="00400E56" w:rsidP="001D6F88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E56">
        <w:rPr>
          <w:rFonts w:ascii="Times New Roman" w:hAnsi="Times New Roman"/>
          <w:b/>
          <w:color w:val="000000" w:themeColor="text1"/>
          <w:sz w:val="28"/>
          <w:szCs w:val="28"/>
        </w:rPr>
        <w:t>Матеріали і методи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400E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написанні </w:t>
      </w:r>
      <w:r>
        <w:rPr>
          <w:rFonts w:ascii="Times New Roman" w:hAnsi="Times New Roman"/>
          <w:color w:val="000000" w:themeColor="text1"/>
          <w:kern w:val="0"/>
          <w:sz w:val="28"/>
          <w:szCs w:val="28"/>
        </w:rPr>
        <w:t xml:space="preserve">роботи використовувались </w:t>
      </w:r>
      <w:r w:rsidR="00407D90">
        <w:rPr>
          <w:rFonts w:ascii="Times New Roman" w:hAnsi="Times New Roman"/>
          <w:color w:val="000000" w:themeColor="text1"/>
          <w:kern w:val="0"/>
          <w:sz w:val="28"/>
          <w:szCs w:val="28"/>
        </w:rPr>
        <w:t>так</w:t>
      </w:r>
      <w:r>
        <w:rPr>
          <w:rFonts w:ascii="Times New Roman" w:hAnsi="Times New Roman"/>
          <w:color w:val="000000" w:themeColor="text1"/>
          <w:kern w:val="0"/>
          <w:sz w:val="28"/>
          <w:szCs w:val="28"/>
        </w:rPr>
        <w:t xml:space="preserve">і методи дослідження: теоретичний та емпіричний, аналіз — для дослідження </w:t>
      </w:r>
      <w:r>
        <w:rPr>
          <w:rFonts w:ascii="Times New Roman" w:hAnsi="Times New Roman"/>
          <w:color w:val="000000" w:themeColor="text1"/>
          <w:kern w:val="0"/>
          <w:sz w:val="28"/>
          <w:szCs w:val="28"/>
        </w:rPr>
        <w:lastRenderedPageBreak/>
        <w:t>структури та складу ресурсної бази банку, статистичні методи, а саме: табличний – для згрупування, опрацювання інформації та графічний — для наочного відображення динаміки показників та відображення результатів досліджень.</w:t>
      </w:r>
    </w:p>
    <w:p w:rsidR="00513794" w:rsidRDefault="00400E56" w:rsidP="0054680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0E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Результати і обговорення. 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>Фінансові ресурси банку являють собою сукупність коштів, а саме власних, залучених та запозичених, які в свою чергу знаходять</w:t>
      </w:r>
      <w:r w:rsidR="001837D3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37D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 розпорядженні банку та використовуються ним для здійснення діяльності з кінцевою метою — отримання прибутку. </w:t>
      </w:r>
      <w:r w:rsidR="0054680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13794">
        <w:rPr>
          <w:rFonts w:ascii="Times New Roman" w:hAnsi="Times New Roman"/>
          <w:color w:val="000000" w:themeColor="text1"/>
          <w:sz w:val="28"/>
          <w:szCs w:val="28"/>
        </w:rPr>
        <w:t xml:space="preserve">аме фінансові ресурси можна назвати фундаментальними у розвитку банку, оскільки в залежності від того, як банк буде проводити процес їх формування та наскільки ефективно ними розпоряджатися, залежатиме рейтинг серед інших банків, довіра клієнтів та конкурентоспроможність. </w:t>
      </w:r>
    </w:p>
    <w:p w:rsidR="00D92FB8" w:rsidRPr="00A1535D" w:rsidRDefault="00D92FB8" w:rsidP="00A1535D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Банки протягом 2018-2021 рр. нарощували свої ресурси, які становлять </w:t>
      </w:r>
      <w:r w:rsidR="00400E56">
        <w:rPr>
          <w:rFonts w:ascii="Times New Roman" w:hAnsi="Times New Roman"/>
          <w:color w:val="000000" w:themeColor="text1"/>
          <w:sz w:val="28"/>
          <w:szCs w:val="28"/>
        </w:rPr>
        <w:t xml:space="preserve">загальні </w:t>
      </w:r>
      <w:r>
        <w:rPr>
          <w:rFonts w:ascii="Times New Roman" w:hAnsi="Times New Roman"/>
          <w:color w:val="000000" w:themeColor="text1"/>
          <w:sz w:val="28"/>
          <w:szCs w:val="28"/>
        </w:rPr>
        <w:t>пасиви (табл.</w:t>
      </w:r>
      <w:r w:rsidR="00400E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1). </w:t>
      </w:r>
    </w:p>
    <w:p w:rsidR="00D92FB8" w:rsidRPr="00A1535D" w:rsidRDefault="00B43659" w:rsidP="00A1535D">
      <w:pPr>
        <w:spacing w:line="360" w:lineRule="auto"/>
        <w:ind w:firstLine="709"/>
        <w:jc w:val="right"/>
        <w:rPr>
          <w:rFonts w:ascii="Times New Roman" w:hAnsi="Times New Roman"/>
          <w:b/>
          <w:kern w:val="0"/>
          <w:sz w:val="28"/>
          <w:szCs w:val="28"/>
        </w:rPr>
      </w:pPr>
      <w:r w:rsidRPr="00A1535D">
        <w:rPr>
          <w:rFonts w:ascii="Times New Roman" w:hAnsi="Times New Roman"/>
          <w:b/>
          <w:kern w:val="0"/>
          <w:sz w:val="28"/>
          <w:szCs w:val="28"/>
        </w:rPr>
        <w:t>Таблиця 1</w:t>
      </w:r>
    </w:p>
    <w:p w:rsidR="00D92FB8" w:rsidRPr="00B43659" w:rsidRDefault="00D92FB8" w:rsidP="00A153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659">
        <w:rPr>
          <w:rFonts w:ascii="Times New Roman" w:hAnsi="Times New Roman"/>
          <w:b/>
          <w:kern w:val="0"/>
          <w:sz w:val="28"/>
          <w:szCs w:val="28"/>
        </w:rPr>
        <w:t xml:space="preserve">Динаміка власного капіталу банків, станом на кінець року, </w:t>
      </w:r>
      <w:proofErr w:type="spellStart"/>
      <w:r w:rsidRPr="00B43659">
        <w:rPr>
          <w:rFonts w:ascii="Times New Roman" w:hAnsi="Times New Roman"/>
          <w:b/>
          <w:kern w:val="0"/>
          <w:sz w:val="28"/>
          <w:szCs w:val="28"/>
        </w:rPr>
        <w:t>млн.грн</w:t>
      </w:r>
      <w:proofErr w:type="spellEnd"/>
    </w:p>
    <w:tbl>
      <w:tblPr>
        <w:tblStyle w:val="a3"/>
        <w:tblW w:w="0" w:type="auto"/>
        <w:tblLook w:val="04A0"/>
      </w:tblPr>
      <w:tblGrid>
        <w:gridCol w:w="3510"/>
        <w:gridCol w:w="1418"/>
        <w:gridCol w:w="1417"/>
        <w:gridCol w:w="1560"/>
        <w:gridCol w:w="1842"/>
      </w:tblGrid>
      <w:tr w:rsidR="00D92FB8" w:rsidRPr="00B43659" w:rsidTr="002812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D92FB8" w:rsidRPr="00B43659" w:rsidTr="002812AA">
        <w:trPr>
          <w:trHeight w:val="3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Власний капітал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154 960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199 921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209 460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255 550</w:t>
            </w:r>
          </w:p>
        </w:tc>
      </w:tr>
      <w:tr w:rsidR="00D92FB8" w:rsidRPr="00B43659" w:rsidTr="002812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493C5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Зобов’язання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400E56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1 149 670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400E56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1 293 377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400E56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1 613 381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400E56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1 798 270</w:t>
            </w:r>
          </w:p>
        </w:tc>
      </w:tr>
      <w:tr w:rsidR="00D92FB8" w:rsidRPr="00B43659" w:rsidTr="002812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59">
              <w:rPr>
                <w:rFonts w:ascii="Times New Roman" w:hAnsi="Times New Roman" w:cs="Times New Roman"/>
                <w:sz w:val="28"/>
                <w:szCs w:val="28"/>
              </w:rPr>
              <w:t>Всього пасиви банків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3659">
              <w:rPr>
                <w:sz w:val="28"/>
                <w:szCs w:val="28"/>
              </w:rPr>
              <w:t>1 359 703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3659">
              <w:rPr>
                <w:sz w:val="28"/>
                <w:szCs w:val="28"/>
              </w:rPr>
              <w:t xml:space="preserve">1 493 298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3659">
              <w:rPr>
                <w:sz w:val="28"/>
                <w:szCs w:val="28"/>
              </w:rPr>
              <w:t xml:space="preserve">1 822 841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B8" w:rsidRPr="00B43659" w:rsidRDefault="00D92FB8" w:rsidP="00B436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3659">
              <w:rPr>
                <w:sz w:val="28"/>
                <w:szCs w:val="28"/>
              </w:rPr>
              <w:t xml:space="preserve">2 053 819 </w:t>
            </w:r>
          </w:p>
        </w:tc>
      </w:tr>
    </w:tbl>
    <w:p w:rsidR="00D92FB8" w:rsidRPr="00B80BB9" w:rsidRDefault="00D92FB8" w:rsidP="00B80BB9">
      <w:pPr>
        <w:spacing w:line="360" w:lineRule="auto"/>
        <w:ind w:firstLineChars="295" w:firstLine="708"/>
        <w:rPr>
          <w:rFonts w:ascii="Times New Roman" w:hAnsi="Times New Roman" w:cs="Times New Roman"/>
        </w:rPr>
      </w:pPr>
      <w:r w:rsidRPr="00B80BB9">
        <w:rPr>
          <w:rFonts w:ascii="Times New Roman" w:hAnsi="Times New Roman" w:cs="Times New Roman"/>
        </w:rPr>
        <w:t xml:space="preserve">Джерело </w:t>
      </w:r>
      <w:r w:rsidRPr="00B80BB9">
        <w:rPr>
          <w:rFonts w:ascii="Times New Roman" w:hAnsi="Times New Roman" w:cs="Times New Roman"/>
          <w:lang w:val="en-US"/>
        </w:rPr>
        <w:t>[</w:t>
      </w:r>
      <w:r w:rsidR="00B80BB9" w:rsidRPr="00B80BB9">
        <w:rPr>
          <w:rFonts w:ascii="Times New Roman" w:hAnsi="Times New Roman" w:cs="Times New Roman"/>
        </w:rPr>
        <w:t>1</w:t>
      </w:r>
      <w:r w:rsidRPr="00B80BB9">
        <w:rPr>
          <w:rFonts w:ascii="Times New Roman" w:hAnsi="Times New Roman" w:cs="Times New Roman"/>
          <w:lang w:val="en-US"/>
        </w:rPr>
        <w:t>]</w:t>
      </w:r>
    </w:p>
    <w:p w:rsidR="00A1535D" w:rsidRDefault="00A1535D" w:rsidP="00B4365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400E56" w:rsidRDefault="00DD6EA4" w:rsidP="00B4365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Зокрема за 2019 рік 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 xml:space="preserve">банки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збільшили їх обсяги на 9%, за 2020 рік на </w:t>
      </w:r>
      <w:r w:rsidR="00F86108">
        <w:rPr>
          <w:rFonts w:ascii="Times New Roman" w:hAnsi="Times New Roman"/>
          <w:color w:val="000000" w:themeColor="text1"/>
          <w:sz w:val="28"/>
          <w:szCs w:val="28"/>
        </w:rPr>
        <w:t>4,6%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%, за 2021 рік на </w:t>
      </w:r>
      <w:r w:rsidR="00F86108">
        <w:rPr>
          <w:rFonts w:ascii="Times New Roman" w:hAnsi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/>
          <w:color w:val="000000" w:themeColor="text1"/>
          <w:sz w:val="28"/>
          <w:szCs w:val="28"/>
        </w:rPr>
        <w:t>%. За 201</w:t>
      </w:r>
      <w:r w:rsidR="00BD7567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-2021 роки загальне зростання становило 51,1%. Частка власного капіталу у пасивах станом на кінець 2018 року становила 11,4%, а вже  станом на кінець 2021 року - 12,5%.</w:t>
      </w:r>
      <w:r w:rsidR="00400E56" w:rsidRPr="00B4365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D6EA4" w:rsidRPr="00B43659" w:rsidRDefault="00DD6EA4" w:rsidP="00B4365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 структурі зобов’язань банків основну частку займали депозитні джерела, ріст яких 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свою чергу </w:t>
      </w:r>
      <w:r w:rsidR="00F86108">
        <w:rPr>
          <w:rFonts w:ascii="Times New Roman" w:hAnsi="Times New Roman"/>
          <w:color w:val="000000" w:themeColor="text1"/>
          <w:sz w:val="28"/>
          <w:szCs w:val="28"/>
        </w:rPr>
        <w:t>був причиною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F86108">
        <w:rPr>
          <w:rFonts w:ascii="Times New Roman" w:hAnsi="Times New Roman"/>
          <w:color w:val="000000" w:themeColor="text1"/>
          <w:sz w:val="28"/>
          <w:szCs w:val="28"/>
        </w:rPr>
        <w:t xml:space="preserve">осту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зобов’язань (рис. 1). </w:t>
      </w:r>
    </w:p>
    <w:p w:rsidR="00400E56" w:rsidRPr="00B43659" w:rsidRDefault="001D6F88" w:rsidP="00DD6EA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6F88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172200" cy="2638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0BB9" w:rsidRDefault="00BD7567" w:rsidP="00653E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67">
        <w:rPr>
          <w:rFonts w:ascii="Times New Roman" w:hAnsi="Times New Roman" w:cs="Times New Roman"/>
          <w:b/>
          <w:sz w:val="28"/>
          <w:szCs w:val="28"/>
        </w:rPr>
        <w:t>Рис.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5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3DAB" w:rsidRPr="00BD7567">
        <w:rPr>
          <w:rFonts w:ascii="Times New Roman" w:hAnsi="Times New Roman" w:cs="Times New Roman"/>
          <w:b/>
          <w:sz w:val="28"/>
          <w:szCs w:val="28"/>
        </w:rPr>
        <w:t xml:space="preserve">Співвідношення зобов’язань </w:t>
      </w:r>
      <w:r w:rsidR="00D768F5">
        <w:rPr>
          <w:rFonts w:ascii="Times New Roman" w:hAnsi="Times New Roman" w:cs="Times New Roman"/>
          <w:b/>
          <w:sz w:val="28"/>
          <w:szCs w:val="28"/>
        </w:rPr>
        <w:t>і</w:t>
      </w:r>
      <w:r w:rsidR="00CA3DAB" w:rsidRPr="00BD7567">
        <w:rPr>
          <w:rFonts w:ascii="Times New Roman" w:hAnsi="Times New Roman" w:cs="Times New Roman"/>
          <w:b/>
          <w:sz w:val="28"/>
          <w:szCs w:val="28"/>
        </w:rPr>
        <w:t xml:space="preserve"> депозитів банків за 2018-2021 рр.</w:t>
      </w:r>
      <w:r w:rsidR="00F1219B">
        <w:rPr>
          <w:rFonts w:ascii="Times New Roman" w:hAnsi="Times New Roman" w:cs="Times New Roman"/>
          <w:b/>
          <w:sz w:val="28"/>
          <w:szCs w:val="28"/>
        </w:rPr>
        <w:t xml:space="preserve"> на кінець періоду, </w:t>
      </w:r>
      <w:proofErr w:type="spellStart"/>
      <w:r w:rsidR="00F1219B">
        <w:rPr>
          <w:rFonts w:ascii="Times New Roman" w:hAnsi="Times New Roman" w:cs="Times New Roman"/>
          <w:b/>
          <w:sz w:val="28"/>
          <w:szCs w:val="28"/>
        </w:rPr>
        <w:t>млн.грн</w:t>
      </w:r>
      <w:proofErr w:type="spellEnd"/>
      <w:r w:rsidR="00B80B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3DAB" w:rsidRPr="00B80BB9" w:rsidRDefault="00B80BB9" w:rsidP="00B80BB9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B80BB9">
        <w:rPr>
          <w:rFonts w:ascii="Times New Roman" w:hAnsi="Times New Roman"/>
          <w:color w:val="000000" w:themeColor="text1"/>
        </w:rPr>
        <w:t xml:space="preserve">Розроблено на основі </w:t>
      </w:r>
      <w:r w:rsidRPr="00B80BB9">
        <w:rPr>
          <w:rFonts w:ascii="Times New Roman" w:hAnsi="Times New Roman"/>
          <w:color w:val="000000" w:themeColor="text1"/>
          <w:lang w:val="en-US"/>
        </w:rPr>
        <w:t>[</w:t>
      </w:r>
      <w:r w:rsidRPr="00B80BB9">
        <w:rPr>
          <w:rFonts w:ascii="Times New Roman" w:hAnsi="Times New Roman"/>
          <w:color w:val="000000" w:themeColor="text1"/>
        </w:rPr>
        <w:t>2</w:t>
      </w:r>
      <w:r w:rsidRPr="00B80BB9">
        <w:rPr>
          <w:rFonts w:ascii="Times New Roman" w:hAnsi="Times New Roman"/>
          <w:color w:val="000000" w:themeColor="text1"/>
          <w:lang w:val="en-US"/>
        </w:rPr>
        <w:t>]</w:t>
      </w:r>
    </w:p>
    <w:p w:rsidR="00DD6EA4" w:rsidRDefault="00CA3DAB" w:rsidP="00CA3DA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DAB">
        <w:rPr>
          <w:rFonts w:ascii="Times New Roman" w:hAnsi="Times New Roman" w:cs="Times New Roman"/>
          <w:sz w:val="28"/>
          <w:szCs w:val="28"/>
        </w:rPr>
        <w:t>У 2019 році депозити зросли на 13,7</w:t>
      </w:r>
      <w:r w:rsidRPr="00CA3DAB">
        <w:rPr>
          <w:rFonts w:ascii="Times New Roman" w:hAnsi="Times New Roman"/>
          <w:color w:val="000000" w:themeColor="text1"/>
          <w:sz w:val="28"/>
          <w:szCs w:val="28"/>
        </w:rPr>
        <w:t>%, у 2020 році на 25,7 %, за 2021 році  на 12,3%. За 201</w:t>
      </w:r>
      <w:r w:rsidR="00BD756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A3DAB">
        <w:rPr>
          <w:rFonts w:ascii="Times New Roman" w:hAnsi="Times New Roman"/>
          <w:color w:val="000000" w:themeColor="text1"/>
          <w:sz w:val="28"/>
          <w:szCs w:val="28"/>
        </w:rPr>
        <w:t>-2021 роки загальне зростання складало 60,4%.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Частка депозитів становила </w:t>
      </w:r>
      <w:r w:rsidR="00F55311">
        <w:rPr>
          <w:rFonts w:ascii="Times New Roman" w:hAnsi="Times New Roman"/>
          <w:color w:val="000000" w:themeColor="text1"/>
          <w:sz w:val="28"/>
          <w:szCs w:val="28"/>
        </w:rPr>
        <w:t>станом</w:t>
      </w:r>
      <w:r w:rsidR="00BD7567">
        <w:rPr>
          <w:rFonts w:ascii="Times New Roman" w:hAnsi="Times New Roman"/>
          <w:color w:val="000000" w:themeColor="text1"/>
          <w:sz w:val="28"/>
          <w:szCs w:val="28"/>
        </w:rPr>
        <w:t xml:space="preserve"> на кінець 2018 року 84%, 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 xml:space="preserve">далі </w:t>
      </w:r>
      <w:r w:rsidR="00BD7567">
        <w:rPr>
          <w:rFonts w:ascii="Times New Roman" w:hAnsi="Times New Roman"/>
          <w:color w:val="000000" w:themeColor="text1"/>
          <w:sz w:val="28"/>
          <w:szCs w:val="28"/>
        </w:rPr>
        <w:t xml:space="preserve">протягом 3-х років зростала  і  станом на кінець 2021 року склала 86,2%. </w:t>
      </w:r>
    </w:p>
    <w:p w:rsidR="00D92FB8" w:rsidRDefault="00DE5786" w:rsidP="0054680E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786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6172200" cy="2743200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0BB9" w:rsidRDefault="00653E70" w:rsidP="00653E7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630B">
        <w:rPr>
          <w:rFonts w:ascii="Times New Roman" w:hAnsi="Times New Roman"/>
          <w:b/>
          <w:color w:val="000000" w:themeColor="text1"/>
          <w:sz w:val="28"/>
          <w:szCs w:val="28"/>
        </w:rPr>
        <w:t>Рис.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630B">
        <w:rPr>
          <w:rFonts w:ascii="Times New Roman" w:hAnsi="Times New Roman"/>
          <w:b/>
          <w:color w:val="000000" w:themeColor="text1"/>
          <w:sz w:val="28"/>
          <w:szCs w:val="28"/>
        </w:rPr>
        <w:t>2. Динаміка депозитних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Pr="007963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ладень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резидентів по банківській системі за 2018-21 рр.,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млн.грн</w:t>
      </w:r>
      <w:proofErr w:type="spellEnd"/>
      <w:r w:rsidRPr="007963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53E70" w:rsidRPr="00B80BB9" w:rsidRDefault="00653E70" w:rsidP="00B80BB9">
      <w:pPr>
        <w:spacing w:line="360" w:lineRule="auto"/>
        <w:rPr>
          <w:rFonts w:ascii="Times New Roman" w:hAnsi="Times New Roman"/>
          <w:color w:val="000000" w:themeColor="text1"/>
        </w:rPr>
      </w:pPr>
      <w:r w:rsidRPr="00B80BB9">
        <w:rPr>
          <w:rFonts w:ascii="Times New Roman" w:hAnsi="Times New Roman"/>
          <w:color w:val="000000" w:themeColor="text1"/>
        </w:rPr>
        <w:t xml:space="preserve">Розроблено на основі </w:t>
      </w:r>
      <w:r w:rsidRPr="00B80BB9">
        <w:rPr>
          <w:rFonts w:ascii="Times New Roman" w:hAnsi="Times New Roman"/>
          <w:color w:val="000000" w:themeColor="text1"/>
          <w:lang w:val="en-US"/>
        </w:rPr>
        <w:t>[</w:t>
      </w:r>
      <w:r w:rsidR="00B80BB9" w:rsidRPr="00B80BB9">
        <w:rPr>
          <w:rFonts w:ascii="Times New Roman" w:hAnsi="Times New Roman"/>
          <w:color w:val="000000" w:themeColor="text1"/>
        </w:rPr>
        <w:t>2</w:t>
      </w:r>
      <w:r w:rsidRPr="00B80BB9">
        <w:rPr>
          <w:rFonts w:ascii="Times New Roman" w:hAnsi="Times New Roman"/>
          <w:color w:val="000000" w:themeColor="text1"/>
          <w:lang w:val="en-US"/>
        </w:rPr>
        <w:t>]</w:t>
      </w:r>
    </w:p>
    <w:p w:rsidR="00653E70" w:rsidRPr="00CA3DAB" w:rsidRDefault="00653E70" w:rsidP="00653E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Аналізуючи депозити резидентів </w:t>
      </w:r>
      <w:r w:rsidR="002A6455">
        <w:rPr>
          <w:rFonts w:ascii="Times New Roman" w:hAnsi="Times New Roman"/>
          <w:color w:val="000000" w:themeColor="text1"/>
          <w:sz w:val="28"/>
          <w:szCs w:val="28"/>
        </w:rPr>
        <w:t>(рис. 2.),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бачимо динаміку їх зростання як з боку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нефінансових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корпорацій, так і населення. </w:t>
      </w:r>
    </w:p>
    <w:p w:rsidR="0054680E" w:rsidRDefault="0054680E" w:rsidP="0054680E">
      <w:pPr>
        <w:widowControl w:val="0"/>
        <w:ind w:firstLineChars="20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848350" cy="2400300"/>
            <wp:effectExtent l="0" t="0" r="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3E70" w:rsidRDefault="00653E70" w:rsidP="00B80BB9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Рис. 3. Структура депозитних вкладень резидентів за 2018-21 рр.,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млн.грн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0BB9">
        <w:rPr>
          <w:rFonts w:ascii="Times New Roman" w:hAnsi="Times New Roman"/>
          <w:color w:val="000000" w:themeColor="text1"/>
        </w:rPr>
        <w:t xml:space="preserve">Розроблено на основі </w:t>
      </w:r>
      <w:r w:rsidRPr="00B80BB9">
        <w:rPr>
          <w:rFonts w:ascii="Times New Roman" w:hAnsi="Times New Roman"/>
          <w:color w:val="000000" w:themeColor="text1"/>
          <w:lang w:val="en-US"/>
        </w:rPr>
        <w:t>[</w:t>
      </w:r>
      <w:r w:rsidR="00B80BB9" w:rsidRPr="00B80BB9">
        <w:rPr>
          <w:rFonts w:ascii="Times New Roman" w:hAnsi="Times New Roman"/>
          <w:color w:val="000000" w:themeColor="text1"/>
        </w:rPr>
        <w:t>2</w:t>
      </w:r>
      <w:r w:rsidRPr="00B80BB9">
        <w:rPr>
          <w:rFonts w:ascii="Times New Roman" w:hAnsi="Times New Roman"/>
          <w:color w:val="000000" w:themeColor="text1"/>
          <w:lang w:val="en-US"/>
        </w:rPr>
        <w:t>]</w:t>
      </w:r>
    </w:p>
    <w:p w:rsidR="00653E70" w:rsidRPr="00653E70" w:rsidRDefault="002A6455" w:rsidP="00653E70">
      <w:pPr>
        <w:widowControl w:val="0"/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видно з рис. 3, у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структурі депозитних вкладень резидентів протягом 2018-2021 рр.</w:t>
      </w:r>
      <w:r w:rsidR="00653E70">
        <w:rPr>
          <w:rFonts w:ascii="Times New Roman" w:hAnsi="Times New Roman" w:cs="Times New Roman"/>
          <w:sz w:val="28"/>
          <w:szCs w:val="28"/>
        </w:rPr>
        <w:t xml:space="preserve"> 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найбільшу частку складали депозити населення, хоча їх частка </w:t>
      </w:r>
      <w:r w:rsidR="00653E70">
        <w:rPr>
          <w:rFonts w:ascii="Times New Roman" w:hAnsi="Times New Roman" w:cs="Times New Roman"/>
          <w:sz w:val="28"/>
          <w:szCs w:val="28"/>
        </w:rPr>
        <w:t xml:space="preserve">порівняно з </w:t>
      </w:r>
      <w:r w:rsidR="00653E70" w:rsidRPr="00653E70">
        <w:rPr>
          <w:rFonts w:ascii="Times New Roman" w:hAnsi="Times New Roman" w:cs="Times New Roman"/>
          <w:sz w:val="28"/>
          <w:szCs w:val="28"/>
        </w:rPr>
        <w:t>2018 рок</w:t>
      </w:r>
      <w:r w:rsidR="00653E70">
        <w:rPr>
          <w:rFonts w:ascii="Times New Roman" w:hAnsi="Times New Roman" w:cs="Times New Roman"/>
          <w:sz w:val="28"/>
          <w:szCs w:val="28"/>
        </w:rPr>
        <w:t>ом зменшилася і</w:t>
      </w:r>
      <w:r w:rsidR="00653E70" w:rsidRPr="00653E70">
        <w:rPr>
          <w:rFonts w:ascii="Times New Roman" w:hAnsi="Times New Roman" w:cs="Times New Roman"/>
          <w:sz w:val="28"/>
          <w:szCs w:val="28"/>
        </w:rPr>
        <w:t xml:space="preserve"> на кінець 2021 року вони складали 52,81%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0BB9">
        <w:rPr>
          <w:rFonts w:ascii="Times New Roman" w:hAnsi="Times New Roman" w:cs="Times New Roman"/>
          <w:sz w:val="28"/>
          <w:szCs w:val="28"/>
        </w:rPr>
        <w:t>На противагу цьому ч</w:t>
      </w:r>
      <w:r>
        <w:rPr>
          <w:rFonts w:ascii="Times New Roman" w:hAnsi="Times New Roman" w:cs="Times New Roman"/>
          <w:sz w:val="28"/>
          <w:szCs w:val="28"/>
        </w:rPr>
        <w:t xml:space="preserve">астка депозитів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нефінансових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корпорацій має стійку тенденцію до зростання. </w:t>
      </w:r>
    </w:p>
    <w:p w:rsidR="00B80BB9" w:rsidRDefault="00653E70" w:rsidP="00B80BB9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6115050" cy="3876675"/>
            <wp:effectExtent l="19050" t="0" r="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Рис. </w:t>
      </w:r>
      <w:r w:rsidR="002A645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Динаміка депозитних вкладень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нефінансових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корпорацій – резидентів </w:t>
      </w:r>
      <w:r w:rsidR="005A52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строками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банківській системі за 2018-21 рр.,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млн.грн</w:t>
      </w:r>
      <w:proofErr w:type="spellEnd"/>
      <w:r w:rsidR="00B80BB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812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A6455" w:rsidRPr="002812AA" w:rsidRDefault="00653E70" w:rsidP="00B80BB9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B9">
        <w:rPr>
          <w:rFonts w:ascii="Times New Roman" w:hAnsi="Times New Roman"/>
          <w:color w:val="000000" w:themeColor="text1"/>
        </w:rPr>
        <w:t xml:space="preserve">Розроблено на основі </w:t>
      </w:r>
      <w:r w:rsidRPr="00B80BB9">
        <w:rPr>
          <w:rFonts w:ascii="Times New Roman" w:hAnsi="Times New Roman"/>
          <w:color w:val="000000" w:themeColor="text1"/>
          <w:lang w:val="en-US"/>
        </w:rPr>
        <w:t>[</w:t>
      </w:r>
      <w:r w:rsidR="00B80BB9" w:rsidRPr="00B80BB9">
        <w:rPr>
          <w:rFonts w:ascii="Times New Roman" w:hAnsi="Times New Roman"/>
          <w:color w:val="000000" w:themeColor="text1"/>
        </w:rPr>
        <w:t>2</w:t>
      </w:r>
      <w:r w:rsidRPr="00B80BB9">
        <w:rPr>
          <w:rFonts w:ascii="Times New Roman" w:hAnsi="Times New Roman"/>
          <w:color w:val="000000" w:themeColor="text1"/>
          <w:lang w:val="en-US"/>
        </w:rPr>
        <w:t>]</w:t>
      </w:r>
    </w:p>
    <w:p w:rsidR="002812AA" w:rsidRDefault="003E50AD" w:rsidP="002812A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Як бачимо з рис. 4, д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епозитні вкладення </w:t>
      </w:r>
      <w:proofErr w:type="spellStart"/>
      <w:r w:rsidR="002812AA">
        <w:rPr>
          <w:rFonts w:ascii="Times New Roman" w:hAnsi="Times New Roman"/>
          <w:color w:val="000000" w:themeColor="text1"/>
          <w:sz w:val="28"/>
          <w:szCs w:val="28"/>
        </w:rPr>
        <w:t>нефінансових</w:t>
      </w:r>
      <w:proofErr w:type="spellEnd"/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 корпорацій за період з 2018 до 2021 року рівномірно зростали, загальний приріст за цей період склав 291, 303 млрд.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812AA">
        <w:rPr>
          <w:rFonts w:ascii="Times New Roman" w:hAnsi="Times New Roman"/>
          <w:color w:val="000000" w:themeColor="text1"/>
          <w:sz w:val="28"/>
          <w:szCs w:val="28"/>
        </w:rPr>
        <w:t>грн</w:t>
      </w:r>
      <w:proofErr w:type="spellEnd"/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  або 85 %. Проте як видно з даних, це зростання відбувалося за рахунок депозитів на вимогу, що зростали активними темпами. Короткострокові депозити мали нестабільну динаміку, за 2021 рік вони знизились на майже 5,8 млрд.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>грн.  Довгострокові депозити за період 201</w:t>
      </w:r>
      <w:r w:rsidR="00D768F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-2021 рр. 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>зменшились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 на 4553 млн.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>, що є негативною тенденцією.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53E70" w:rsidRDefault="00653E70" w:rsidP="00653E70">
      <w:pPr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drawing>
          <wp:inline distT="0" distB="0" distL="0" distR="0">
            <wp:extent cx="6219825" cy="2867025"/>
            <wp:effectExtent l="19050" t="0" r="9525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3E70" w:rsidRDefault="00653E70" w:rsidP="002A6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Рис. </w:t>
      </w:r>
      <w:r w:rsidR="002A64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Структура депозитів </w:t>
      </w:r>
      <w:proofErr w:type="spellStart"/>
      <w:r>
        <w:rPr>
          <w:b/>
          <w:sz w:val="28"/>
          <w:szCs w:val="28"/>
        </w:rPr>
        <w:t>нефінансових</w:t>
      </w:r>
      <w:proofErr w:type="spellEnd"/>
      <w:r>
        <w:rPr>
          <w:b/>
          <w:sz w:val="28"/>
          <w:szCs w:val="28"/>
        </w:rPr>
        <w:t xml:space="preserve"> корпорацій за строками за 2018-</w:t>
      </w:r>
      <w:r w:rsidR="002A645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 рр., %</w:t>
      </w:r>
    </w:p>
    <w:p w:rsidR="00653E70" w:rsidRDefault="00653E70" w:rsidP="00653E70">
      <w:pPr>
        <w:spacing w:line="360" w:lineRule="auto"/>
        <w:jc w:val="both"/>
        <w:rPr>
          <w:lang w:val="en-US"/>
        </w:rPr>
      </w:pPr>
      <w:r w:rsidRPr="00B80BB9">
        <w:t>Розроблено на основі [</w:t>
      </w:r>
      <w:r w:rsidR="00B80BB9" w:rsidRPr="00B80BB9">
        <w:t>2</w:t>
      </w:r>
      <w:r w:rsidRPr="00B80BB9">
        <w:t>]</w:t>
      </w:r>
    </w:p>
    <w:p w:rsidR="00A1535D" w:rsidRPr="00A1535D" w:rsidRDefault="00A1535D" w:rsidP="00653E70">
      <w:pPr>
        <w:spacing w:line="360" w:lineRule="auto"/>
        <w:jc w:val="both"/>
        <w:rPr>
          <w:color w:val="000000" w:themeColor="text1"/>
          <w:lang w:val="en-US"/>
        </w:rPr>
      </w:pPr>
    </w:p>
    <w:p w:rsidR="00653E70" w:rsidRDefault="003E50AD" w:rsidP="003E50A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Як видно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рис.5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частка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депозитів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нефінансових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корпорацій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вимогу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за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період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2018-2021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рр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. </w:t>
      </w:r>
      <w:proofErr w:type="spellStart"/>
      <w:r w:rsidR="00231738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була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найбільшою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і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ма</w:t>
      </w:r>
      <w:r w:rsidR="00231738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ла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тенденцію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до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зростання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хоча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станом на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кінець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2020 року вона </w:t>
      </w:r>
      <w:proofErr w:type="spellStart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змешилась</w:t>
      </w:r>
      <w:proofErr w:type="spellEnd"/>
      <w:r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до 69,84%.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Станом на </w:t>
      </w:r>
      <w:proofErr w:type="spellStart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кінець</w:t>
      </w:r>
      <w:proofErr w:type="spellEnd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2021 року </w:t>
      </w:r>
      <w:proofErr w:type="spellStart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частка</w:t>
      </w:r>
      <w:proofErr w:type="spellEnd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короткострокових</w:t>
      </w:r>
      <w:proofErr w:type="spellEnd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депозитів</w:t>
      </w:r>
      <w:proofErr w:type="spellEnd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складала</w:t>
      </w:r>
      <w:proofErr w:type="spellEnd"/>
      <w:r w:rsidR="002A6455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19,12%, а </w:t>
      </w:r>
      <w:proofErr w:type="spellStart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довгострокових</w:t>
      </w:r>
      <w:proofErr w:type="spellEnd"/>
      <w:r w:rsidR="002A6455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–</w:t>
      </w:r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лише</w:t>
      </w:r>
      <w:proofErr w:type="spellEnd"/>
      <w:r w:rsidR="00653E70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4,71%.</w:t>
      </w:r>
      <w:r w:rsidR="00653E70">
        <w:rPr>
          <w:rFonts w:ascii="Times New Roman" w:hAnsi="Times New Roman"/>
          <w:color w:val="000000" w:themeColor="text1"/>
          <w:sz w:val="28"/>
          <w:szCs w:val="28"/>
        </w:rPr>
        <w:t xml:space="preserve"> Така структура депозитів не да</w:t>
      </w:r>
      <w:r w:rsidR="00231738">
        <w:rPr>
          <w:rFonts w:ascii="Times New Roman" w:hAnsi="Times New Roman"/>
          <w:color w:val="000000" w:themeColor="text1"/>
          <w:sz w:val="28"/>
          <w:szCs w:val="28"/>
        </w:rPr>
        <w:t>вала</w:t>
      </w:r>
      <w:proofErr w:type="gramEnd"/>
      <w:r w:rsidR="00653E70">
        <w:rPr>
          <w:rFonts w:ascii="Times New Roman" w:hAnsi="Times New Roman"/>
          <w:color w:val="000000" w:themeColor="text1"/>
          <w:sz w:val="28"/>
          <w:szCs w:val="28"/>
        </w:rPr>
        <w:t xml:space="preserve"> можливості банкам активно здійснювати кредитні операції, а особливо надавати довгострокові кредити.</w:t>
      </w:r>
    </w:p>
    <w:p w:rsidR="005A52E7" w:rsidRDefault="005A52E7" w:rsidP="003E50A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Розглядаючи депозитні вкладення населення за строками, слід відмітити,</w:t>
      </w:r>
      <w:r w:rsidR="00AA78F6">
        <w:rPr>
          <w:rFonts w:ascii="Times New Roman" w:hAnsi="Times New Roman"/>
          <w:color w:val="000000" w:themeColor="text1"/>
          <w:sz w:val="28"/>
          <w:szCs w:val="28"/>
        </w:rPr>
        <w:t xml:space="preserve"> що активними темпами зроста</w:t>
      </w:r>
      <w:r w:rsidR="00231738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AA78F6">
        <w:rPr>
          <w:rFonts w:ascii="Times New Roman" w:hAnsi="Times New Roman"/>
          <w:color w:val="000000" w:themeColor="text1"/>
          <w:sz w:val="28"/>
          <w:szCs w:val="28"/>
        </w:rPr>
        <w:t xml:space="preserve"> кошти на вимогу, зокрема за період 201</w:t>
      </w:r>
      <w:r w:rsidR="00D768F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AA78F6">
        <w:rPr>
          <w:rFonts w:ascii="Times New Roman" w:hAnsi="Times New Roman"/>
          <w:color w:val="000000" w:themeColor="text1"/>
          <w:sz w:val="28"/>
          <w:szCs w:val="28"/>
        </w:rPr>
        <w:t>-2021 року вони зросли у 2,3 рази</w:t>
      </w:r>
      <w:r w:rsidR="00231738">
        <w:rPr>
          <w:rFonts w:ascii="Times New Roman" w:hAnsi="Times New Roman"/>
          <w:color w:val="000000" w:themeColor="text1"/>
          <w:sz w:val="28"/>
          <w:szCs w:val="28"/>
        </w:rPr>
        <w:t xml:space="preserve"> (рис.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1738">
        <w:rPr>
          <w:rFonts w:ascii="Times New Roman" w:hAnsi="Times New Roman"/>
          <w:color w:val="000000" w:themeColor="text1"/>
          <w:sz w:val="28"/>
          <w:szCs w:val="28"/>
        </w:rPr>
        <w:t xml:space="preserve">6). Нестабільні тенденції спостерігалися з депозитами строковими. </w:t>
      </w:r>
    </w:p>
    <w:p w:rsidR="00AA78F6" w:rsidRPr="003E50AD" w:rsidRDefault="00AA78F6" w:rsidP="00AA78F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78F6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124575" cy="3000375"/>
            <wp:effectExtent l="0" t="0" r="0" b="0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A52E7" w:rsidRDefault="005A52E7" w:rsidP="005A52E7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Рис. 6. Динаміка депозитів населення по банківській системі</w:t>
      </w:r>
      <w:r w:rsidR="00D768F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млн. грн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0BB9" w:rsidRPr="00B80BB9" w:rsidRDefault="00B80BB9" w:rsidP="00B80BB9">
      <w:pPr>
        <w:spacing w:line="360" w:lineRule="auto"/>
        <w:rPr>
          <w:rFonts w:ascii="Times New Roman" w:hAnsi="Times New Roman"/>
          <w:b/>
          <w:color w:val="000000" w:themeColor="text1"/>
        </w:rPr>
      </w:pPr>
      <w:r w:rsidRPr="00B80BB9">
        <w:rPr>
          <w:rFonts w:ascii="Times New Roman" w:hAnsi="Times New Roman"/>
          <w:color w:val="000000" w:themeColor="text1"/>
        </w:rPr>
        <w:t xml:space="preserve">Розроблено на основі </w:t>
      </w:r>
      <w:r w:rsidRPr="00B80BB9">
        <w:rPr>
          <w:rFonts w:ascii="Times New Roman" w:hAnsi="Times New Roman"/>
          <w:color w:val="000000" w:themeColor="text1"/>
          <w:lang w:val="en-US"/>
        </w:rPr>
        <w:t>[</w:t>
      </w:r>
      <w:r w:rsidRPr="00B80BB9">
        <w:rPr>
          <w:rFonts w:ascii="Times New Roman" w:hAnsi="Times New Roman"/>
          <w:color w:val="000000" w:themeColor="text1"/>
        </w:rPr>
        <w:t>2</w:t>
      </w:r>
      <w:r w:rsidRPr="00B80BB9">
        <w:rPr>
          <w:rFonts w:ascii="Times New Roman" w:hAnsi="Times New Roman"/>
          <w:color w:val="000000" w:themeColor="text1"/>
          <w:lang w:val="en-US"/>
        </w:rPr>
        <w:t>]</w:t>
      </w:r>
    </w:p>
    <w:p w:rsidR="00231738" w:rsidRDefault="00231738" w:rsidP="00231738">
      <w:pPr>
        <w:widowControl w:val="0"/>
        <w:spacing w:line="360" w:lineRule="auto"/>
        <w:ind w:firstLineChars="202" w:firstLine="56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Найменші обсяги складали довгострокові депозити, зокрема, 111,703 млрд. грн. станом на кінець 2021р., що більш як в 4 рази менше за кошти на вимогу.</w:t>
      </w:r>
    </w:p>
    <w:p w:rsidR="00FA56D8" w:rsidRDefault="00FA56D8" w:rsidP="00AA78F6">
      <w:pPr>
        <w:tabs>
          <w:tab w:val="left" w:pos="4678"/>
        </w:tabs>
        <w:spacing w:line="360" w:lineRule="auto"/>
        <w:jc w:val="both"/>
        <w:rPr>
          <w:b/>
          <w:sz w:val="28"/>
          <w:szCs w:val="28"/>
        </w:rPr>
      </w:pPr>
      <w:r w:rsidRPr="00FA56D8"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38850" cy="2514600"/>
            <wp:effectExtent l="0" t="0" r="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52E7" w:rsidRDefault="005A52E7" w:rsidP="00F86108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7. Структура депозитів населення за строками за 2018-2021 рр., %</w:t>
      </w:r>
    </w:p>
    <w:p w:rsidR="006B0FB0" w:rsidRPr="006B0FB0" w:rsidRDefault="006B0FB0" w:rsidP="006B0FB0">
      <w:pPr>
        <w:spacing w:line="360" w:lineRule="auto"/>
        <w:ind w:firstLine="709"/>
        <w:jc w:val="both"/>
        <w:rPr>
          <w:b/>
        </w:rPr>
      </w:pPr>
      <w:r w:rsidRPr="006B0FB0">
        <w:rPr>
          <w:rFonts w:ascii="Times New Roman" w:hAnsi="Times New Roman"/>
          <w:color w:val="000000" w:themeColor="text1"/>
        </w:rPr>
        <w:t xml:space="preserve">Розроблено на основі </w:t>
      </w:r>
      <w:r w:rsidRPr="006B0FB0">
        <w:rPr>
          <w:rFonts w:ascii="Times New Roman" w:hAnsi="Times New Roman"/>
          <w:color w:val="000000" w:themeColor="text1"/>
          <w:lang w:val="en-US"/>
        </w:rPr>
        <w:t>[</w:t>
      </w:r>
      <w:r w:rsidRPr="006B0FB0">
        <w:rPr>
          <w:rFonts w:ascii="Times New Roman" w:hAnsi="Times New Roman"/>
          <w:color w:val="000000" w:themeColor="text1"/>
        </w:rPr>
        <w:t>2</w:t>
      </w:r>
      <w:r w:rsidRPr="006B0FB0">
        <w:rPr>
          <w:rFonts w:ascii="Times New Roman" w:hAnsi="Times New Roman"/>
          <w:color w:val="000000" w:themeColor="text1"/>
          <w:lang w:val="en-US"/>
        </w:rPr>
        <w:t>]</w:t>
      </w:r>
    </w:p>
    <w:p w:rsidR="00231738" w:rsidRDefault="005A52E7" w:rsidP="00F86108">
      <w:pPr>
        <w:widowControl w:val="0"/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31738">
        <w:rPr>
          <w:sz w:val="28"/>
          <w:szCs w:val="28"/>
        </w:rPr>
        <w:t>Аналізуючи структуру</w:t>
      </w:r>
      <w:r w:rsidR="00231738" w:rsidRPr="00231738">
        <w:rPr>
          <w:rFonts w:ascii="Times New Roman" w:hAnsi="Times New Roman" w:cs="Times New Roman"/>
          <w:sz w:val="28"/>
          <w:szCs w:val="28"/>
        </w:rPr>
        <w:t xml:space="preserve"> д</w:t>
      </w:r>
      <w:r w:rsidR="00231738">
        <w:rPr>
          <w:rFonts w:ascii="Times New Roman" w:hAnsi="Times New Roman" w:cs="Times New Roman"/>
          <w:sz w:val="28"/>
          <w:szCs w:val="28"/>
        </w:rPr>
        <w:t>епозитів населення за строками (рис.</w:t>
      </w:r>
      <w:r w:rsidR="00F86108">
        <w:rPr>
          <w:rFonts w:ascii="Times New Roman" w:hAnsi="Times New Roman" w:cs="Times New Roman"/>
          <w:sz w:val="28"/>
          <w:szCs w:val="28"/>
        </w:rPr>
        <w:t xml:space="preserve"> </w:t>
      </w:r>
      <w:r w:rsidR="00231738">
        <w:rPr>
          <w:rFonts w:ascii="Times New Roman" w:hAnsi="Times New Roman" w:cs="Times New Roman"/>
          <w:sz w:val="28"/>
          <w:szCs w:val="28"/>
        </w:rPr>
        <w:t>7), бачимо, що найбільшу їх частку у 2018 році складали короткострокові депозити 39,64%, проте станом на кінець 2021 року їхня частка зменшилась до 26,34%, натомість основну частку депозитів населення у цей період займали кошти на вимогу, що є негативною тенденцією</w:t>
      </w:r>
      <w:r w:rsidR="00F86108">
        <w:rPr>
          <w:rFonts w:ascii="Times New Roman" w:hAnsi="Times New Roman" w:cs="Times New Roman"/>
          <w:sz w:val="28"/>
          <w:szCs w:val="28"/>
        </w:rPr>
        <w:t xml:space="preserve"> і свідчить про нестабільність ресурсної бази банків, що обмежує обсяги кредитно-інвестиційних операцій.</w:t>
      </w:r>
    </w:p>
    <w:p w:rsidR="002A6455" w:rsidRPr="002812AA" w:rsidRDefault="00DD6EA4" w:rsidP="002812AA">
      <w:pPr>
        <w:spacing w:line="360" w:lineRule="auto"/>
        <w:ind w:firstLine="709"/>
        <w:jc w:val="both"/>
        <w:rPr>
          <w:color w:val="000000" w:themeColor="text1"/>
        </w:rPr>
      </w:pPr>
      <w:r>
        <w:rPr>
          <w:b/>
          <w:sz w:val="28"/>
          <w:szCs w:val="28"/>
        </w:rPr>
        <w:lastRenderedPageBreak/>
        <w:t xml:space="preserve">Висновки. </w:t>
      </w:r>
      <w:r w:rsidR="005D4388">
        <w:rPr>
          <w:rFonts w:ascii="Times New Roman" w:hAnsi="Times New Roman"/>
          <w:color w:val="000000"/>
          <w:kern w:val="0"/>
          <w:sz w:val="28"/>
          <w:szCs w:val="28"/>
        </w:rPr>
        <w:t xml:space="preserve">Основними проблемами, які виникають у процесі формування банками фінансових ресурсів виступають невеликі обсяги та </w:t>
      </w:r>
      <w:proofErr w:type="spellStart"/>
      <w:r w:rsidR="005D4388">
        <w:rPr>
          <w:rFonts w:ascii="Times New Roman" w:hAnsi="Times New Roman"/>
          <w:color w:val="000000"/>
          <w:kern w:val="0"/>
          <w:sz w:val="28"/>
          <w:szCs w:val="28"/>
        </w:rPr>
        <w:t>неоптимальність</w:t>
      </w:r>
      <w:proofErr w:type="spellEnd"/>
      <w:r w:rsidR="005D4388">
        <w:rPr>
          <w:rFonts w:ascii="Times New Roman" w:hAnsi="Times New Roman"/>
          <w:color w:val="000000"/>
          <w:kern w:val="0"/>
          <w:sz w:val="28"/>
          <w:szCs w:val="28"/>
        </w:rPr>
        <w:t xml:space="preserve"> структури капіталу, коли у структурі власного капіталу обсяг статутного залишається найбільшим </w:t>
      </w:r>
      <w:r w:rsidR="002812AA">
        <w:rPr>
          <w:rFonts w:ascii="Times New Roman" w:hAnsi="Times New Roman"/>
          <w:color w:val="000000"/>
          <w:kern w:val="0"/>
          <w:sz w:val="28"/>
          <w:szCs w:val="28"/>
        </w:rPr>
        <w:t>і</w:t>
      </w:r>
      <w:r w:rsidR="005D4388">
        <w:rPr>
          <w:rFonts w:ascii="Times New Roman" w:hAnsi="Times New Roman"/>
          <w:color w:val="000000"/>
          <w:kern w:val="0"/>
          <w:sz w:val="28"/>
          <w:szCs w:val="28"/>
        </w:rPr>
        <w:t xml:space="preserve"> наявний непокритий збиток.</w:t>
      </w:r>
      <w:r w:rsidR="005D4388" w:rsidRPr="005D43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4388">
        <w:rPr>
          <w:rFonts w:ascii="Times New Roman" w:hAnsi="Times New Roman"/>
          <w:color w:val="000000"/>
          <w:sz w:val="28"/>
          <w:szCs w:val="28"/>
        </w:rPr>
        <w:t>Банкам варто збільшувати обсяг капіталу, використовуючи для цього відповідні методи, зокрема такі як реінвестування прибутку, емісія додаткових акцій, залучення інвесторів</w:t>
      </w:r>
      <w:r w:rsidR="002A6455">
        <w:rPr>
          <w:rFonts w:ascii="Times New Roman" w:hAnsi="Times New Roman"/>
          <w:color w:val="000000"/>
          <w:sz w:val="28"/>
          <w:szCs w:val="28"/>
        </w:rPr>
        <w:t xml:space="preserve"> тощо.</w:t>
      </w:r>
      <w:r w:rsidR="00281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Оскільки </w:t>
      </w:r>
      <w:r w:rsidR="002A6455">
        <w:rPr>
          <w:rFonts w:ascii="Times New Roman" w:hAnsi="Times New Roman"/>
          <w:color w:val="000000" w:themeColor="text1"/>
          <w:sz w:val="28"/>
          <w:szCs w:val="28"/>
        </w:rPr>
        <w:t xml:space="preserve">на величину заощаджень людей впливає розмір їхнього доходу та витрат, і відповідно їх 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 xml:space="preserve">розмір </w:t>
      </w:r>
      <w:r w:rsidR="002A6455">
        <w:rPr>
          <w:rFonts w:ascii="Times New Roman" w:hAnsi="Times New Roman"/>
          <w:color w:val="000000" w:themeColor="text1"/>
          <w:sz w:val="28"/>
          <w:szCs w:val="28"/>
        </w:rPr>
        <w:t xml:space="preserve"> відіграє роль для ресурсної бази банку, оскільки чим більше вільних коштів клієнти інвестуватимуть в депозити, тим більше у банку буде ресурсів для здійснення своєї діяльності.</w:t>
      </w:r>
      <w:r w:rsidR="002812AA">
        <w:rPr>
          <w:color w:val="000000" w:themeColor="text1"/>
        </w:rPr>
        <w:t xml:space="preserve"> </w:t>
      </w:r>
      <w:r w:rsidR="002812A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A6455">
        <w:rPr>
          <w:rFonts w:ascii="Times New Roman" w:hAnsi="Times New Roman"/>
          <w:color w:val="000000" w:themeColor="text1"/>
          <w:sz w:val="28"/>
          <w:szCs w:val="28"/>
        </w:rPr>
        <w:t xml:space="preserve">епозитний портфель банку має виняткове значення у його ресурсному забезпеченні, тому важливо завжди збільшувати його розмір, шукаючи нові ефективні джерела залучення, </w:t>
      </w:r>
      <w:proofErr w:type="spellStart"/>
      <w:r w:rsidR="002A6455">
        <w:rPr>
          <w:rFonts w:ascii="Times New Roman" w:hAnsi="Times New Roman"/>
          <w:color w:val="000000" w:themeColor="text1"/>
          <w:sz w:val="28"/>
          <w:szCs w:val="28"/>
        </w:rPr>
        <w:t>оптимізовувати</w:t>
      </w:r>
      <w:proofErr w:type="spellEnd"/>
      <w:r w:rsidR="002A64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56D8">
        <w:rPr>
          <w:rFonts w:ascii="Times New Roman" w:hAnsi="Times New Roman"/>
          <w:color w:val="000000" w:themeColor="text1"/>
          <w:sz w:val="28"/>
          <w:szCs w:val="28"/>
        </w:rPr>
        <w:t xml:space="preserve">його </w:t>
      </w:r>
      <w:r w:rsidR="002A6455">
        <w:rPr>
          <w:rFonts w:ascii="Times New Roman" w:hAnsi="Times New Roman"/>
          <w:color w:val="000000" w:themeColor="text1"/>
          <w:sz w:val="28"/>
          <w:szCs w:val="28"/>
        </w:rPr>
        <w:t xml:space="preserve">структуру, здійснювати диверсифікацію ризиків, зокрема такого, 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>коли</w:t>
      </w:r>
      <w:r w:rsidR="002A6455">
        <w:rPr>
          <w:rFonts w:ascii="Times New Roman" w:hAnsi="Times New Roman"/>
          <w:color w:val="000000" w:themeColor="text1"/>
          <w:sz w:val="28"/>
          <w:szCs w:val="28"/>
        </w:rPr>
        <w:t xml:space="preserve"> кошти з депозиту </w:t>
      </w:r>
      <w:r w:rsidR="00B80BB9">
        <w:rPr>
          <w:rFonts w:ascii="Times New Roman" w:hAnsi="Times New Roman"/>
          <w:color w:val="000000" w:themeColor="text1"/>
          <w:sz w:val="28"/>
          <w:szCs w:val="28"/>
        </w:rPr>
        <w:t>на вимогу</w:t>
      </w:r>
      <w:r w:rsidR="002A6455">
        <w:rPr>
          <w:rFonts w:ascii="Times New Roman" w:hAnsi="Times New Roman"/>
          <w:color w:val="000000" w:themeColor="text1"/>
          <w:sz w:val="28"/>
          <w:szCs w:val="28"/>
        </w:rPr>
        <w:t xml:space="preserve"> вкладник зможе забрати в будь-який потрібний йому час, тому варто залучати строкові вклади.  </w:t>
      </w:r>
    </w:p>
    <w:p w:rsidR="005D4388" w:rsidRDefault="005D4388" w:rsidP="002812AA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вдосконалення формування фінансових ресурсів банк</w:t>
      </w:r>
      <w:r w:rsidR="002812AA">
        <w:rPr>
          <w:rFonts w:ascii="Times New Roman" w:hAnsi="Times New Roman"/>
          <w:color w:val="000000"/>
          <w:sz w:val="28"/>
          <w:szCs w:val="28"/>
        </w:rPr>
        <w:t xml:space="preserve">ам слід </w:t>
      </w:r>
      <w:r>
        <w:rPr>
          <w:rFonts w:ascii="Times New Roman" w:hAnsi="Times New Roman"/>
          <w:color w:val="000000"/>
          <w:sz w:val="28"/>
          <w:szCs w:val="28"/>
        </w:rPr>
        <w:t xml:space="preserve"> вдосконалю</w:t>
      </w:r>
      <w:r w:rsidR="002812AA">
        <w:rPr>
          <w:rFonts w:ascii="Times New Roman" w:hAnsi="Times New Roman"/>
          <w:color w:val="000000"/>
          <w:sz w:val="28"/>
          <w:szCs w:val="28"/>
        </w:rPr>
        <w:t>вати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систему обслуговування своїх клієнтів</w:t>
      </w:r>
      <w:r w:rsidR="002812AA">
        <w:rPr>
          <w:rFonts w:ascii="Times New Roman" w:hAnsi="Times New Roman"/>
          <w:color w:val="000000"/>
          <w:sz w:val="28"/>
          <w:szCs w:val="28"/>
        </w:rPr>
        <w:t xml:space="preserve"> відповідно до вимог ринку</w:t>
      </w:r>
      <w:r>
        <w:rPr>
          <w:rFonts w:ascii="Times New Roman" w:hAnsi="Times New Roman"/>
          <w:color w:val="000000"/>
          <w:sz w:val="28"/>
          <w:szCs w:val="28"/>
        </w:rPr>
        <w:t>, використовуючи для цього прийняті стратегії та політики, а також інноваційні технології, які швидкими темпами набирають популярності та стають надзвичайно ефективними та потрібними.</w:t>
      </w:r>
    </w:p>
    <w:p w:rsidR="006B0FB0" w:rsidRDefault="006B0FB0" w:rsidP="00493C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AC6288" w:rsidRPr="00493C58" w:rsidRDefault="00493C58" w:rsidP="00493C58">
      <w:pPr>
        <w:spacing w:line="360" w:lineRule="auto"/>
        <w:jc w:val="center"/>
        <w:rPr>
          <w:b/>
          <w:sz w:val="28"/>
          <w:szCs w:val="28"/>
        </w:rPr>
      </w:pPr>
      <w:r w:rsidRPr="00493C58">
        <w:rPr>
          <w:b/>
          <w:sz w:val="28"/>
          <w:szCs w:val="28"/>
        </w:rPr>
        <w:t>СПИСОК ВИКОРИСТАНИХ ДЖЕРЕЛ</w:t>
      </w:r>
    </w:p>
    <w:p w:rsidR="00493C58" w:rsidRDefault="00493C58" w:rsidP="00493C58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975"/>
        </w:tabs>
        <w:spacing w:after="0" w:line="360" w:lineRule="auto"/>
        <w:ind w:left="0" w:firstLine="0"/>
        <w:jc w:val="both"/>
        <w:rPr>
          <w:szCs w:val="28"/>
        </w:rPr>
      </w:pPr>
      <w:proofErr w:type="spellStart"/>
      <w:r>
        <w:rPr>
          <w:rFonts w:cs="Times New Roman"/>
          <w:szCs w:val="28"/>
          <w:lang w:val="en-US"/>
        </w:rPr>
        <w:t>Основні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показники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діяльності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банків</w:t>
      </w:r>
      <w:proofErr w:type="spellEnd"/>
      <w:r>
        <w:rPr>
          <w:rFonts w:cs="Times New Roman"/>
          <w:szCs w:val="28"/>
          <w:lang w:val="en-US"/>
        </w:rPr>
        <w:t xml:space="preserve"> </w:t>
      </w:r>
      <w:proofErr w:type="spellStart"/>
      <w:r>
        <w:rPr>
          <w:rFonts w:cs="Times New Roman"/>
          <w:szCs w:val="28"/>
          <w:lang w:val="en-US"/>
        </w:rPr>
        <w:t>України</w:t>
      </w:r>
      <w:proofErr w:type="spellEnd"/>
      <w:r>
        <w:rPr>
          <w:rFonts w:cs="Times New Roman"/>
          <w:szCs w:val="28"/>
          <w:lang w:val="en-US"/>
        </w:rPr>
        <w:t xml:space="preserve">. </w:t>
      </w:r>
      <w:r>
        <w:rPr>
          <w:rFonts w:cs="Times New Roman"/>
          <w:szCs w:val="28"/>
        </w:rPr>
        <w:t>URL:</w:t>
      </w:r>
      <w:r>
        <w:rPr>
          <w:rFonts w:cs="Times New Roman"/>
          <w:szCs w:val="28"/>
          <w:lang w:val="en-US"/>
        </w:rPr>
        <w:t xml:space="preserve"> </w:t>
      </w:r>
      <w:r>
        <w:t xml:space="preserve"> </w:t>
      </w:r>
      <w:hyperlink r:id="rId12" w:history="1">
        <w:r>
          <w:rPr>
            <w:rStyle w:val="a4"/>
            <w:rFonts w:cs="Times New Roman"/>
            <w:szCs w:val="28"/>
            <w:lang w:val="en-US"/>
          </w:rPr>
          <w:t>https://bank.gov.ua/en/statistic/supervision-statist</w:t>
        </w:r>
      </w:hyperlink>
      <w:r>
        <w:rPr>
          <w:rFonts w:cs="Times New Roman"/>
          <w:szCs w:val="28"/>
          <w:lang w:val="en-US"/>
        </w:rPr>
        <w:t xml:space="preserve"> </w:t>
      </w:r>
      <w:r>
        <w:rPr>
          <w:szCs w:val="28"/>
        </w:rPr>
        <w:t>(дата звернення: 14.05.2022)</w:t>
      </w:r>
    </w:p>
    <w:p w:rsidR="00B80BB9" w:rsidRPr="00B80BB9" w:rsidRDefault="00493C58" w:rsidP="00B80BB9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</w:pPr>
      <w:r>
        <w:rPr>
          <w:rFonts w:cs="Times New Roman"/>
          <w:szCs w:val="28"/>
        </w:rPr>
        <w:t>Депозити, залучені депозитними корпораціями (крім Національного банку України)</w:t>
      </w:r>
      <w:r>
        <w:rPr>
          <w:rFonts w:cs="Times New Roman"/>
          <w:szCs w:val="28"/>
          <w:lang w:val="en-US"/>
        </w:rPr>
        <w:t>.</w:t>
      </w:r>
      <w:r>
        <w:rPr>
          <w:rFonts w:cs="Times New Roman"/>
          <w:szCs w:val="28"/>
        </w:rPr>
        <w:t xml:space="preserve"> URL:</w:t>
      </w:r>
      <w:r>
        <w:rPr>
          <w:rFonts w:cs="Times New Roman"/>
          <w:szCs w:val="28"/>
          <w:lang w:val="en-US"/>
        </w:rPr>
        <w:t xml:space="preserve"> </w:t>
      </w:r>
      <w:hyperlink r:id="rId13" w:history="1">
        <w:r>
          <w:rPr>
            <w:rStyle w:val="a4"/>
            <w:rFonts w:cs="Times New Roman"/>
            <w:szCs w:val="28"/>
          </w:rPr>
          <w:t>https://bank.gov.ua/ua/statistic/sector-financial</w:t>
        </w:r>
      </w:hyperlink>
      <w:r>
        <w:rPr>
          <w:rFonts w:cs="Times New Roman"/>
          <w:szCs w:val="28"/>
          <w:lang w:val="en-US"/>
        </w:rPr>
        <w:t xml:space="preserve"> </w:t>
      </w:r>
      <w:r>
        <w:rPr>
          <w:szCs w:val="28"/>
        </w:rPr>
        <w:t>(дата звернення: 14.05.2022)</w:t>
      </w:r>
      <w:r w:rsidR="00B80BB9" w:rsidRPr="00B80BB9">
        <w:rPr>
          <w:rFonts w:cs="Times New Roman"/>
          <w:szCs w:val="28"/>
        </w:rPr>
        <w:t xml:space="preserve"> </w:t>
      </w:r>
    </w:p>
    <w:p w:rsidR="00B80BB9" w:rsidRDefault="00B80BB9" w:rsidP="00B80BB9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</w:pPr>
      <w:r w:rsidRPr="00FA56D8">
        <w:rPr>
          <w:rFonts w:cs="Times New Roman"/>
          <w:szCs w:val="28"/>
        </w:rPr>
        <w:t xml:space="preserve">Гладких Д. М. Ключові проблеми капіталізації банківської системи України та напрями її зростання. Бізнес </w:t>
      </w:r>
      <w:proofErr w:type="spellStart"/>
      <w:r w:rsidRPr="00FA56D8">
        <w:rPr>
          <w:rFonts w:cs="Times New Roman"/>
          <w:szCs w:val="28"/>
        </w:rPr>
        <w:t>Інформ</w:t>
      </w:r>
      <w:proofErr w:type="spellEnd"/>
      <w:r w:rsidRPr="00FA56D8">
        <w:rPr>
          <w:rFonts w:cs="Times New Roman"/>
          <w:szCs w:val="28"/>
        </w:rPr>
        <w:t xml:space="preserve">. 2021. №5. C. 327–333. </w:t>
      </w:r>
    </w:p>
    <w:p w:rsidR="00493C58" w:rsidRDefault="00493C58" w:rsidP="00B80BB9">
      <w:pPr>
        <w:pStyle w:val="a5"/>
        <w:widowControl w:val="0"/>
        <w:tabs>
          <w:tab w:val="left" w:pos="142"/>
          <w:tab w:val="left" w:pos="426"/>
          <w:tab w:val="left" w:pos="851"/>
        </w:tabs>
        <w:spacing w:after="0" w:line="360" w:lineRule="auto"/>
        <w:ind w:left="0" w:firstLine="0"/>
        <w:jc w:val="both"/>
        <w:rPr>
          <w:rFonts w:cs="Times New Roman"/>
          <w:szCs w:val="28"/>
        </w:rPr>
      </w:pPr>
    </w:p>
    <w:sectPr w:rsidR="00493C58" w:rsidSect="006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0B79"/>
    <w:multiLevelType w:val="hybridMultilevel"/>
    <w:tmpl w:val="A76EB008"/>
    <w:lvl w:ilvl="0" w:tplc="2C2A8B1C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94"/>
    <w:rsid w:val="0000532D"/>
    <w:rsid w:val="000557E4"/>
    <w:rsid w:val="001837D3"/>
    <w:rsid w:val="001B1615"/>
    <w:rsid w:val="001D6F88"/>
    <w:rsid w:val="00231738"/>
    <w:rsid w:val="002812AA"/>
    <w:rsid w:val="002A6455"/>
    <w:rsid w:val="00313344"/>
    <w:rsid w:val="003E50AD"/>
    <w:rsid w:val="00400E56"/>
    <w:rsid w:val="00407D90"/>
    <w:rsid w:val="00424CCB"/>
    <w:rsid w:val="00493C58"/>
    <w:rsid w:val="004D2402"/>
    <w:rsid w:val="00513794"/>
    <w:rsid w:val="0054680E"/>
    <w:rsid w:val="005A52E7"/>
    <w:rsid w:val="005D4388"/>
    <w:rsid w:val="00612C88"/>
    <w:rsid w:val="00617B66"/>
    <w:rsid w:val="00653E70"/>
    <w:rsid w:val="006A3512"/>
    <w:rsid w:val="006B0FB0"/>
    <w:rsid w:val="007746A3"/>
    <w:rsid w:val="0079630B"/>
    <w:rsid w:val="007C72FC"/>
    <w:rsid w:val="008C0AC3"/>
    <w:rsid w:val="008E5843"/>
    <w:rsid w:val="00A1535D"/>
    <w:rsid w:val="00A17724"/>
    <w:rsid w:val="00A23CC7"/>
    <w:rsid w:val="00AA78F6"/>
    <w:rsid w:val="00AA7A90"/>
    <w:rsid w:val="00B43659"/>
    <w:rsid w:val="00B80BB9"/>
    <w:rsid w:val="00BD7567"/>
    <w:rsid w:val="00C22360"/>
    <w:rsid w:val="00CA3DAB"/>
    <w:rsid w:val="00D768F5"/>
    <w:rsid w:val="00D92FB8"/>
    <w:rsid w:val="00DB1E93"/>
    <w:rsid w:val="00DD6EA4"/>
    <w:rsid w:val="00DE5786"/>
    <w:rsid w:val="00EB3123"/>
    <w:rsid w:val="00F1219B"/>
    <w:rsid w:val="00F55311"/>
    <w:rsid w:val="00F86108"/>
    <w:rsid w:val="00FA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0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93C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3C58"/>
    <w:pPr>
      <w:spacing w:after="160" w:line="254" w:lineRule="auto"/>
      <w:ind w:left="720" w:firstLine="709"/>
      <w:contextualSpacing/>
      <w:jc w:val="center"/>
    </w:pPr>
    <w:rPr>
      <w:rFonts w:ascii="Times New Roman" w:eastAsiaTheme="minorHAnsi" w:hAnsi="Times New Roman" w:cstheme="minorBidi"/>
      <w:kern w:val="0"/>
      <w:sz w:val="28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D6F88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88"/>
    <w:rPr>
      <w:rFonts w:ascii="Tahoma" w:eastAsia="NSimSun" w:hAnsi="Tahoma" w:cs="Mangal"/>
      <w:kern w:val="2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https://bank.gov.ua/ua/statistic/sector-financia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s://bank.gov.ua/en/statistic/supervision-stat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4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5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478565179352587"/>
          <c:y val="5.0696436917988086E-2"/>
          <c:w val="0.72559605975179031"/>
          <c:h val="0.834912451012116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Зобовязання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1149670</c:v>
                </c:pt>
                <c:pt idx="1">
                  <c:v>1293377</c:v>
                </c:pt>
                <c:pt idx="2">
                  <c:v>1613381</c:v>
                </c:pt>
                <c:pt idx="3">
                  <c:v>1798270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Депозити</c:v>
                </c:pt>
              </c:strCache>
            </c:strRef>
          </c:tx>
          <c:dLbls>
            <c:dLbl>
              <c:idx val="0"/>
              <c:layout>
                <c:manualLayout>
                  <c:x val="2.057613168724280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4691358024691391E-2"/>
                  <c:y val="9.1324200913242559E-3"/>
                </c:manualLayout>
              </c:layout>
              <c:showVal val="1"/>
            </c:dLbl>
            <c:dLbl>
              <c:idx val="2"/>
              <c:layout>
                <c:manualLayout>
                  <c:x val="2.67489711934156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8518518518518535E-2"/>
                  <c:y val="9.1324200913242125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#,##0</c:formatCode>
                <c:ptCount val="4"/>
                <c:pt idx="0">
                  <c:v>965959</c:v>
                </c:pt>
                <c:pt idx="1">
                  <c:v>1098583</c:v>
                </c:pt>
                <c:pt idx="2">
                  <c:v>1380576</c:v>
                </c:pt>
                <c:pt idx="3" formatCode="General">
                  <c:v>1549598</c:v>
                </c:pt>
              </c:numCache>
            </c:numRef>
          </c:val>
        </c:ser>
        <c:axId val="123307136"/>
        <c:axId val="123308672"/>
      </c:barChart>
      <c:catAx>
        <c:axId val="123307136"/>
        <c:scaling>
          <c:orientation val="minMax"/>
        </c:scaling>
        <c:axPos val="b"/>
        <c:numFmt formatCode="General" sourceLinked="1"/>
        <c:tickLblPos val="nextTo"/>
        <c:crossAx val="123308672"/>
        <c:crosses val="autoZero"/>
        <c:auto val="1"/>
        <c:lblAlgn val="ctr"/>
        <c:lblOffset val="100"/>
      </c:catAx>
      <c:valAx>
        <c:axId val="123308672"/>
        <c:scaling>
          <c:orientation val="minMax"/>
        </c:scaling>
        <c:axPos val="l"/>
        <c:majorGridlines/>
        <c:numFmt formatCode="#,##0" sourceLinked="1"/>
        <c:tickLblPos val="nextTo"/>
        <c:crossAx val="12330713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478565179352587"/>
          <c:y val="5.1400554097404488E-2"/>
          <c:w val="0.65159392113022907"/>
          <c:h val="0.83261956838728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 депозити резидентів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#,##0</c:formatCode>
                <c:ptCount val="4"/>
                <c:pt idx="0">
                  <c:v>932967</c:v>
                </c:pt>
                <c:pt idx="1">
                  <c:v>1071666</c:v>
                </c:pt>
                <c:pt idx="2">
                  <c:v>1348130</c:v>
                </c:pt>
                <c:pt idx="3">
                  <c:v>1503909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депозити нефінансових корпорацій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#,##0</c:formatCode>
                <c:ptCount val="4"/>
                <c:pt idx="0">
                  <c:v>342503</c:v>
                </c:pt>
                <c:pt idx="1">
                  <c:v>433731</c:v>
                </c:pt>
                <c:pt idx="2">
                  <c:v>549488</c:v>
                </c:pt>
                <c:pt idx="3">
                  <c:v>633806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депозити домогосподарств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#,##0</c:formatCode>
                <c:ptCount val="4"/>
                <c:pt idx="0">
                  <c:v>530250</c:v>
                </c:pt>
                <c:pt idx="1">
                  <c:v>576126</c:v>
                </c:pt>
                <c:pt idx="2">
                  <c:v>730317</c:v>
                </c:pt>
                <c:pt idx="3">
                  <c:v>794152</c:v>
                </c:pt>
              </c:numCache>
            </c:numRef>
          </c:val>
        </c:ser>
        <c:axId val="129059072"/>
        <c:axId val="129216512"/>
      </c:barChart>
      <c:catAx>
        <c:axId val="129059072"/>
        <c:scaling>
          <c:orientation val="minMax"/>
        </c:scaling>
        <c:axPos val="b"/>
        <c:numFmt formatCode="General" sourceLinked="1"/>
        <c:tickLblPos val="nextTo"/>
        <c:crossAx val="129216512"/>
        <c:crosses val="autoZero"/>
        <c:auto val="1"/>
        <c:lblAlgn val="ctr"/>
        <c:lblOffset val="100"/>
      </c:catAx>
      <c:valAx>
        <c:axId val="129216512"/>
        <c:scaling>
          <c:orientation val="minMax"/>
        </c:scaling>
        <c:axPos val="l"/>
        <c:majorGridlines/>
        <c:numFmt formatCode="#,##0" sourceLinked="1"/>
        <c:tickLblPos val="nextTo"/>
        <c:crossAx val="12905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255241242992834"/>
          <c:y val="7.7552128900554101E-2"/>
          <c:w val="0.21510190855772682"/>
          <c:h val="0.74767351997666953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депозити нефінансових корпорацій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0.00</c:formatCode>
                <c:ptCount val="4"/>
                <c:pt idx="0">
                  <c:v>36.71</c:v>
                </c:pt>
                <c:pt idx="1">
                  <c:v>40.47</c:v>
                </c:pt>
                <c:pt idx="2">
                  <c:v>40.760000000000012</c:v>
                </c:pt>
                <c:pt idx="3">
                  <c:v>42.14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депозити населення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0.00</c:formatCode>
                <c:ptCount val="4"/>
                <c:pt idx="0">
                  <c:v>56.83</c:v>
                </c:pt>
                <c:pt idx="1">
                  <c:v>53.760000000000012</c:v>
                </c:pt>
                <c:pt idx="2">
                  <c:v>54.17</c:v>
                </c:pt>
                <c:pt idx="3">
                  <c:v>52.809999999999995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депозити інших резидентів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0.00</c:formatCode>
                <c:ptCount val="4"/>
                <c:pt idx="0">
                  <c:v>6.4600000000000009</c:v>
                </c:pt>
                <c:pt idx="1">
                  <c:v>5.7700000000000031</c:v>
                </c:pt>
                <c:pt idx="2">
                  <c:v>5.07</c:v>
                </c:pt>
                <c:pt idx="3">
                  <c:v>5.0499999999999972</c:v>
                </c:pt>
              </c:numCache>
            </c:numRef>
          </c:val>
        </c:ser>
        <c:axId val="131039616"/>
        <c:axId val="131042688"/>
      </c:barChart>
      <c:catAx>
        <c:axId val="131039616"/>
        <c:scaling>
          <c:orientation val="minMax"/>
        </c:scaling>
        <c:axPos val="b"/>
        <c:numFmt formatCode="General" sourceLinked="1"/>
        <c:tickLblPos val="nextTo"/>
        <c:crossAx val="131042688"/>
        <c:crosses val="autoZero"/>
        <c:auto val="1"/>
        <c:lblAlgn val="ctr"/>
        <c:lblOffset val="100"/>
      </c:catAx>
      <c:valAx>
        <c:axId val="131042688"/>
        <c:scaling>
          <c:orientation val="minMax"/>
        </c:scaling>
        <c:axPos val="l"/>
        <c:majorGridlines/>
        <c:numFmt formatCode="0.00" sourceLinked="1"/>
        <c:tickLblPos val="nextTo"/>
        <c:crossAx val="13103961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903958891830146E-2"/>
          <c:y val="5.1140990082778316E-2"/>
          <c:w val="0.8979790166528504"/>
          <c:h val="0.85649606491984576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Лист1!$A$20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1.9241047568145389E-2"/>
                  <c:y val="-1.2260536398467475E-2"/>
                </c:manualLayout>
              </c:layout>
              <c:showVal val="1"/>
            </c:dLbl>
            <c:dLbl>
              <c:idx val="3"/>
              <c:layout>
                <c:manualLayout>
                  <c:x val="-2.5654730090860511E-2"/>
                  <c:y val="1.226053639846736E-2"/>
                </c:manualLayout>
              </c:layout>
              <c:showVal val="1"/>
            </c:dLbl>
            <c:showVal val="1"/>
          </c:dLbls>
          <c:cat>
            <c:strRef>
              <c:f>Лист1!$B$19:$E$19</c:f>
              <c:strCache>
                <c:ptCount val="4"/>
                <c:pt idx="0">
                  <c:v>Усього</c:v>
                </c:pt>
                <c:pt idx="1">
                  <c:v>на вимогу</c:v>
                </c:pt>
                <c:pt idx="2">
                  <c:v>короткострокові</c:v>
                </c:pt>
                <c:pt idx="3">
                  <c:v>довгострокові</c:v>
                </c:pt>
              </c:strCache>
            </c:strRef>
          </c:cat>
          <c:val>
            <c:numRef>
              <c:f>Лист1!$B$20:$E$20</c:f>
              <c:numCache>
                <c:formatCode>#,##0</c:formatCode>
                <c:ptCount val="4"/>
                <c:pt idx="0">
                  <c:v>342503</c:v>
                </c:pt>
                <c:pt idx="1">
                  <c:v>214576</c:v>
                </c:pt>
                <c:pt idx="2">
                  <c:v>93530</c:v>
                </c:pt>
                <c:pt idx="3">
                  <c:v>34397</c:v>
                </c:pt>
              </c:numCache>
            </c:numRef>
          </c:val>
        </c:ser>
        <c:ser>
          <c:idx val="1"/>
          <c:order val="1"/>
          <c:tx>
            <c:strRef>
              <c:f>Лист1!$A$21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3"/>
              <c:layout>
                <c:manualLayout>
                  <c:x val="-1.2827365045430278E-2"/>
                  <c:y val="-1.2260536398467475E-2"/>
                </c:manualLayout>
              </c:layout>
              <c:showVal val="1"/>
            </c:dLbl>
            <c:showVal val="1"/>
          </c:dLbls>
          <c:cat>
            <c:strRef>
              <c:f>Лист1!$B$19:$E$19</c:f>
              <c:strCache>
                <c:ptCount val="4"/>
                <c:pt idx="0">
                  <c:v>Усього</c:v>
                </c:pt>
                <c:pt idx="1">
                  <c:v>на вимогу</c:v>
                </c:pt>
                <c:pt idx="2">
                  <c:v>короткострокові</c:v>
                </c:pt>
                <c:pt idx="3">
                  <c:v>довгострокові</c:v>
                </c:pt>
              </c:strCache>
            </c:strRef>
          </c:cat>
          <c:val>
            <c:numRef>
              <c:f>Лист1!$B$21:$E$21</c:f>
              <c:numCache>
                <c:formatCode>#,##0</c:formatCode>
                <c:ptCount val="4"/>
                <c:pt idx="0">
                  <c:v>433731</c:v>
                </c:pt>
                <c:pt idx="1">
                  <c:v>313147</c:v>
                </c:pt>
                <c:pt idx="2">
                  <c:v>90262</c:v>
                </c:pt>
                <c:pt idx="3">
                  <c:v>30322</c:v>
                </c:pt>
              </c:numCache>
            </c:numRef>
          </c:val>
        </c:ser>
        <c:ser>
          <c:idx val="2"/>
          <c:order val="2"/>
          <c:tx>
            <c:strRef>
              <c:f>Лист1!$A$22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6.1302681992337384E-3"/>
                </c:manualLayout>
              </c:layout>
              <c:showVal val="1"/>
            </c:dLbl>
            <c:showVal val="1"/>
          </c:dLbls>
          <c:cat>
            <c:strRef>
              <c:f>Лист1!$B$19:$E$19</c:f>
              <c:strCache>
                <c:ptCount val="4"/>
                <c:pt idx="0">
                  <c:v>Усього</c:v>
                </c:pt>
                <c:pt idx="1">
                  <c:v>на вимогу</c:v>
                </c:pt>
                <c:pt idx="2">
                  <c:v>короткострокові</c:v>
                </c:pt>
                <c:pt idx="3">
                  <c:v>довгострокові</c:v>
                </c:pt>
              </c:strCache>
            </c:strRef>
          </c:cat>
          <c:val>
            <c:numRef>
              <c:f>Лист1!$B$22:$E$22</c:f>
              <c:numCache>
                <c:formatCode>#,##0</c:formatCode>
                <c:ptCount val="4"/>
                <c:pt idx="0">
                  <c:v>549488</c:v>
                </c:pt>
                <c:pt idx="1">
                  <c:v>383758</c:v>
                </c:pt>
                <c:pt idx="2">
                  <c:v>136945</c:v>
                </c:pt>
                <c:pt idx="3">
                  <c:v>28785</c:v>
                </c:pt>
              </c:numCache>
            </c:numRef>
          </c:val>
        </c:ser>
        <c:ser>
          <c:idx val="3"/>
          <c:order val="3"/>
          <c:tx>
            <c:strRef>
              <c:f>Лист1!$A$23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2"/>
              <c:layout>
                <c:manualLayout>
                  <c:x val="2.1378941742383792E-2"/>
                  <c:y val="6.1302681992337384E-3"/>
                </c:manualLayout>
              </c:layout>
              <c:showVal val="1"/>
            </c:dLbl>
            <c:dLbl>
              <c:idx val="3"/>
              <c:layout>
                <c:manualLayout>
                  <c:x val="2.3516835916622132E-2"/>
                  <c:y val="1.8390804597701281E-2"/>
                </c:manualLayout>
              </c:layout>
              <c:showVal val="1"/>
            </c:dLbl>
            <c:showVal val="1"/>
          </c:dLbls>
          <c:cat>
            <c:strRef>
              <c:f>Лист1!$B$19:$E$19</c:f>
              <c:strCache>
                <c:ptCount val="4"/>
                <c:pt idx="0">
                  <c:v>Усього</c:v>
                </c:pt>
                <c:pt idx="1">
                  <c:v>на вимогу</c:v>
                </c:pt>
                <c:pt idx="2">
                  <c:v>короткострокові</c:v>
                </c:pt>
                <c:pt idx="3">
                  <c:v>довгострокові</c:v>
                </c:pt>
              </c:strCache>
            </c:strRef>
          </c:cat>
          <c:val>
            <c:numRef>
              <c:f>Лист1!$B$23:$E$23</c:f>
              <c:numCache>
                <c:formatCode>#,##0</c:formatCode>
                <c:ptCount val="4"/>
                <c:pt idx="0">
                  <c:v>633806</c:v>
                </c:pt>
                <c:pt idx="1">
                  <c:v>482804</c:v>
                </c:pt>
                <c:pt idx="2">
                  <c:v>121158</c:v>
                </c:pt>
                <c:pt idx="3">
                  <c:v>29844</c:v>
                </c:pt>
              </c:numCache>
            </c:numRef>
          </c:val>
        </c:ser>
        <c:axId val="132882432"/>
        <c:axId val="132957696"/>
      </c:barChart>
      <c:catAx>
        <c:axId val="132882432"/>
        <c:scaling>
          <c:orientation val="minMax"/>
        </c:scaling>
        <c:axPos val="b"/>
        <c:tickLblPos val="nextTo"/>
        <c:crossAx val="132957696"/>
        <c:crosses val="autoZero"/>
        <c:auto val="1"/>
        <c:lblAlgn val="ctr"/>
        <c:lblOffset val="100"/>
      </c:catAx>
      <c:valAx>
        <c:axId val="132957696"/>
        <c:scaling>
          <c:orientation val="minMax"/>
        </c:scaling>
        <c:axPos val="l"/>
        <c:majorGridlines/>
        <c:numFmt formatCode="#,##0" sourceLinked="1"/>
        <c:tickLblPos val="nextTo"/>
        <c:crossAx val="1328824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63034169794196282"/>
          <c:y val="0.19923371647509591"/>
          <c:w val="0.32083276869921029"/>
          <c:h val="0.25159513681479473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8715237165032842E-2"/>
          <c:y val="4.9180596611470083E-2"/>
          <c:w val="0.74191878388861421"/>
          <c:h val="0.839848623573217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вимогу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0.00</c:formatCode>
                <c:ptCount val="4"/>
                <c:pt idx="0">
                  <c:v>62.65</c:v>
                </c:pt>
                <c:pt idx="1">
                  <c:v>72.2</c:v>
                </c:pt>
                <c:pt idx="2">
                  <c:v>69.84</c:v>
                </c:pt>
                <c:pt idx="3">
                  <c:v>76.179999999999978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короткострокові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0.00</c:formatCode>
                <c:ptCount val="4"/>
                <c:pt idx="0">
                  <c:v>27.310000000000016</c:v>
                </c:pt>
                <c:pt idx="1">
                  <c:v>20.810000000000016</c:v>
                </c:pt>
                <c:pt idx="2">
                  <c:v>24.919999999999987</c:v>
                </c:pt>
                <c:pt idx="3">
                  <c:v>19.12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довгострокові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0.00</c:formatCode>
                <c:ptCount val="4"/>
                <c:pt idx="0">
                  <c:v>10.040000000000001</c:v>
                </c:pt>
                <c:pt idx="1">
                  <c:v>6.99</c:v>
                </c:pt>
                <c:pt idx="2">
                  <c:v>5.24</c:v>
                </c:pt>
                <c:pt idx="3">
                  <c:v>4.71</c:v>
                </c:pt>
              </c:numCache>
            </c:numRef>
          </c:val>
        </c:ser>
        <c:axId val="129097088"/>
        <c:axId val="129176704"/>
      </c:barChart>
      <c:catAx>
        <c:axId val="129097088"/>
        <c:scaling>
          <c:orientation val="minMax"/>
        </c:scaling>
        <c:axPos val="b"/>
        <c:numFmt formatCode="General" sourceLinked="1"/>
        <c:tickLblPos val="nextTo"/>
        <c:crossAx val="129176704"/>
        <c:crosses val="autoZero"/>
        <c:auto val="1"/>
        <c:lblAlgn val="ctr"/>
        <c:lblOffset val="100"/>
      </c:catAx>
      <c:valAx>
        <c:axId val="129176704"/>
        <c:scaling>
          <c:orientation val="minMax"/>
        </c:scaling>
        <c:axPos val="l"/>
        <c:majorGridlines/>
        <c:numFmt formatCode="0.00" sourceLinked="1"/>
        <c:tickLblPos val="nextTo"/>
        <c:crossAx val="129097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1"/>
              <c:layout>
                <c:manualLayout>
                  <c:x val="-1.8662519440124436E-2"/>
                  <c:y val="1.6931216931216932E-2"/>
                </c:manualLayout>
              </c:layout>
              <c:showVal val="1"/>
            </c:dLbl>
            <c:dLbl>
              <c:idx val="2"/>
              <c:layout>
                <c:manualLayout>
                  <c:x val="-1.866251944012436E-2"/>
                  <c:y val="-4.2328042328042331E-3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на вимогу</c:v>
                </c:pt>
                <c:pt idx="1">
                  <c:v>короткострокові</c:v>
                </c:pt>
                <c:pt idx="2">
                  <c:v>довгострокові</c:v>
                </c:pt>
              </c:strCache>
            </c:strRef>
          </c:cat>
          <c:val>
            <c:numRef>
              <c:f>Лист1!$B$2:$D$2</c:f>
              <c:numCache>
                <c:formatCode>#,##0</c:formatCode>
                <c:ptCount val="3"/>
                <c:pt idx="0">
                  <c:v>203410</c:v>
                </c:pt>
                <c:pt idx="1">
                  <c:v>210188</c:v>
                </c:pt>
                <c:pt idx="2">
                  <c:v>116652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-8.2944530844997408E-3"/>
                  <c:y val="-4.2328042328042331E-3"/>
                </c:manualLayout>
              </c:layout>
              <c:showVal val="1"/>
            </c:dLbl>
            <c:dLbl>
              <c:idx val="2"/>
              <c:layout>
                <c:manualLayout>
                  <c:x val="-2.0736132711249387E-3"/>
                  <c:y val="1.6931216931216932E-2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на вимогу</c:v>
                </c:pt>
                <c:pt idx="1">
                  <c:v>короткострокові</c:v>
                </c:pt>
                <c:pt idx="2">
                  <c:v>довгострокові</c:v>
                </c:pt>
              </c:strCache>
            </c:strRef>
          </c:cat>
          <c:val>
            <c:numRef>
              <c:f>Лист1!$B$3:$D$3</c:f>
              <c:numCache>
                <c:formatCode>#,##0</c:formatCode>
                <c:ptCount val="3"/>
                <c:pt idx="0">
                  <c:v>240125</c:v>
                </c:pt>
                <c:pt idx="1">
                  <c:v>237690</c:v>
                </c:pt>
                <c:pt idx="2">
                  <c:v>98311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1"/>
              <c:layout>
                <c:manualLayout>
                  <c:x val="2.2809745982374369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на вимогу</c:v>
                </c:pt>
                <c:pt idx="1">
                  <c:v>короткострокові</c:v>
                </c:pt>
                <c:pt idx="2">
                  <c:v>довгострокові</c:v>
                </c:pt>
              </c:strCache>
            </c:strRef>
          </c:cat>
          <c:val>
            <c:numRef>
              <c:f>Лист1!$B$4:$D$4</c:f>
              <c:numCache>
                <c:formatCode>#,##0</c:formatCode>
                <c:ptCount val="3"/>
                <c:pt idx="0">
                  <c:v>378999</c:v>
                </c:pt>
                <c:pt idx="1">
                  <c:v>237493</c:v>
                </c:pt>
                <c:pt idx="2">
                  <c:v>113825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1"/>
              <c:layout>
                <c:manualLayout>
                  <c:x val="1.8662519440124509E-2"/>
                  <c:y val="8.4656084656084766E-3"/>
                </c:manualLayout>
              </c:layout>
              <c:showVal val="1"/>
            </c:dLbl>
            <c:dLbl>
              <c:idx val="2"/>
              <c:layout>
                <c:manualLayout>
                  <c:x val="1.6588906168999482E-2"/>
                  <c:y val="2.1164021164021087E-2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на вимогу</c:v>
                </c:pt>
                <c:pt idx="1">
                  <c:v>короткострокові</c:v>
                </c:pt>
                <c:pt idx="2">
                  <c:v>довгострокові</c:v>
                </c:pt>
              </c:strCache>
            </c:strRef>
          </c:cat>
          <c:val>
            <c:numRef>
              <c:f>Лист1!$B$5:$D$5</c:f>
              <c:numCache>
                <c:formatCode>#,##0</c:formatCode>
                <c:ptCount val="3"/>
                <c:pt idx="0">
                  <c:v>473242</c:v>
                </c:pt>
                <c:pt idx="1">
                  <c:v>209207</c:v>
                </c:pt>
                <c:pt idx="2">
                  <c:v>111703</c:v>
                </c:pt>
              </c:numCache>
            </c:numRef>
          </c:val>
        </c:ser>
        <c:axId val="131158400"/>
        <c:axId val="131159936"/>
      </c:barChart>
      <c:catAx>
        <c:axId val="131158400"/>
        <c:scaling>
          <c:orientation val="minMax"/>
        </c:scaling>
        <c:axPos val="b"/>
        <c:numFmt formatCode="General" sourceLinked="1"/>
        <c:tickLblPos val="nextTo"/>
        <c:crossAx val="131159936"/>
        <c:crosses val="autoZero"/>
        <c:auto val="1"/>
        <c:lblAlgn val="ctr"/>
        <c:lblOffset val="100"/>
      </c:catAx>
      <c:valAx>
        <c:axId val="131159936"/>
        <c:scaling>
          <c:orientation val="minMax"/>
        </c:scaling>
        <c:axPos val="l"/>
        <c:majorGridlines/>
        <c:numFmt formatCode="#,##0" sourceLinked="1"/>
        <c:tickLblPos val="nextTo"/>
        <c:crossAx val="13115840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486574430562127E-2"/>
          <c:y val="5.1400554097404488E-2"/>
          <c:w val="0.70053553242753175"/>
          <c:h val="0.83261956838728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вимогу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38.36</c:v>
                </c:pt>
                <c:pt idx="1">
                  <c:v>41.68</c:v>
                </c:pt>
                <c:pt idx="2">
                  <c:v>51.9</c:v>
                </c:pt>
                <c:pt idx="3">
                  <c:v>59.59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короткострокові</c:v>
                </c:pt>
              </c:strCache>
            </c:strRef>
          </c:tx>
          <c:dLbls>
            <c:dLbl>
              <c:idx val="0"/>
              <c:layout>
                <c:manualLayout>
                  <c:x val="1.472134595162987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8927444794952702E-2"/>
                  <c:y val="4.6296296296296337E-3"/>
                </c:manualLayout>
              </c:layout>
              <c:showVal val="1"/>
            </c:dLbl>
            <c:dLbl>
              <c:idx val="3"/>
              <c:layout>
                <c:manualLayout>
                  <c:x val="1.0515247108307046E-2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39.64</c:v>
                </c:pt>
                <c:pt idx="1">
                  <c:v>41.260000000000012</c:v>
                </c:pt>
                <c:pt idx="2">
                  <c:v>32.520000000000003</c:v>
                </c:pt>
                <c:pt idx="3">
                  <c:v>26.34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довгострокові</c:v>
                </c:pt>
              </c:strCache>
            </c:strRef>
          </c:tx>
          <c:dLbls>
            <c:dLbl>
              <c:idx val="0"/>
              <c:layout>
                <c:manualLayout>
                  <c:x val="1.261829652996844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0515247108307046E-2"/>
                  <c:y val="8.4875562720133801E-17"/>
                </c:manualLayout>
              </c:layout>
              <c:showVal val="1"/>
            </c:dLbl>
            <c:dLbl>
              <c:idx val="2"/>
              <c:layout>
                <c:manualLayout>
                  <c:x val="1.2618296529968378E-2"/>
                  <c:y val="8.4875562720133801E-17"/>
                </c:manualLayout>
              </c:layout>
              <c:showVal val="1"/>
            </c:dLbl>
            <c:dLbl>
              <c:idx val="3"/>
              <c:layout>
                <c:manualLayout>
                  <c:x val="8.4121976866456567E-3"/>
                  <c:y val="8.4875562720133801E-17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0.00</c:formatCode>
                <c:ptCount val="4"/>
                <c:pt idx="0">
                  <c:v>22</c:v>
                </c:pt>
                <c:pt idx="1">
                  <c:v>17.059999999999999</c:v>
                </c:pt>
                <c:pt idx="2">
                  <c:v>15.59</c:v>
                </c:pt>
                <c:pt idx="3">
                  <c:v>14.07</c:v>
                </c:pt>
              </c:numCache>
            </c:numRef>
          </c:val>
        </c:ser>
        <c:axId val="131284992"/>
        <c:axId val="131286528"/>
      </c:barChart>
      <c:catAx>
        <c:axId val="131284992"/>
        <c:scaling>
          <c:orientation val="minMax"/>
        </c:scaling>
        <c:axPos val="b"/>
        <c:numFmt formatCode="General" sourceLinked="1"/>
        <c:tickLblPos val="nextTo"/>
        <c:crossAx val="131286528"/>
        <c:crosses val="autoZero"/>
        <c:auto val="1"/>
        <c:lblAlgn val="ctr"/>
        <c:lblOffset val="100"/>
      </c:catAx>
      <c:valAx>
        <c:axId val="131286528"/>
        <c:scaling>
          <c:orientation val="minMax"/>
        </c:scaling>
        <c:axPos val="l"/>
        <c:majorGridlines/>
        <c:numFmt formatCode="#,##0.00" sourceLinked="1"/>
        <c:tickLblPos val="nextTo"/>
        <c:crossAx val="13128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98396217822931"/>
          <c:y val="0.17534995625546829"/>
          <c:w val="0.18234928835788297"/>
          <c:h val="0.45022564887722366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2022-05-31T08:52:00Z</dcterms:created>
  <dcterms:modified xsi:type="dcterms:W3CDTF">2022-06-03T03:43:00Z</dcterms:modified>
</cp:coreProperties>
</file>